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66F2BB" w14:textId="77777777" w:rsidR="000F75F2" w:rsidRDefault="000F75F2" w:rsidP="00C87C7F">
      <w:pPr>
        <w:jc w:val="right"/>
        <w:rPr>
          <w:lang w:val="lv-LV"/>
        </w:rPr>
      </w:pPr>
      <w:r>
        <w:rPr>
          <w:noProof/>
          <w:lang w:val="lv-LV" w:eastAsia="lv-LV"/>
        </w:rPr>
        <w:drawing>
          <wp:anchor distT="0" distB="0" distL="114300" distR="114300" simplePos="0" relativeHeight="251658240" behindDoc="0" locked="0" layoutInCell="1" allowOverlap="1" wp14:anchorId="5466F2DF" wp14:editId="5466F2E0">
            <wp:simplePos x="0" y="0"/>
            <wp:positionH relativeFrom="column">
              <wp:posOffset>2743200</wp:posOffset>
            </wp:positionH>
            <wp:positionV relativeFrom="paragraph">
              <wp:posOffset>114300</wp:posOffset>
            </wp:positionV>
            <wp:extent cx="495300" cy="704850"/>
            <wp:effectExtent l="1905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495300" cy="704850"/>
                    </a:xfrm>
                    <a:prstGeom prst="rect">
                      <a:avLst/>
                    </a:prstGeom>
                    <a:noFill/>
                  </pic:spPr>
                </pic:pic>
              </a:graphicData>
            </a:graphic>
          </wp:anchor>
        </w:drawing>
      </w:r>
      <w:r>
        <w:rPr>
          <w:lang w:val="lv-LV"/>
        </w:rPr>
        <w:br w:type="textWrapping" w:clear="all"/>
      </w:r>
    </w:p>
    <w:p w14:paraId="5466F2BC" w14:textId="77777777" w:rsidR="000F75F2" w:rsidRDefault="000F75F2" w:rsidP="000F75F2">
      <w:pPr>
        <w:ind w:right="180"/>
        <w:jc w:val="center"/>
        <w:rPr>
          <w:b/>
          <w:spacing w:val="10"/>
          <w:sz w:val="22"/>
          <w:szCs w:val="22"/>
          <w:lang w:val="lv-LV"/>
        </w:rPr>
      </w:pPr>
      <w:r>
        <w:rPr>
          <w:b/>
          <w:spacing w:val="10"/>
          <w:sz w:val="22"/>
          <w:szCs w:val="22"/>
          <w:lang w:val="lv-LV"/>
        </w:rPr>
        <w:t>LATVIJAS REPUBLIKA</w:t>
      </w:r>
    </w:p>
    <w:p w14:paraId="5466F2BD" w14:textId="77777777" w:rsidR="000F75F2" w:rsidRDefault="000F75F2" w:rsidP="000F75F2">
      <w:pPr>
        <w:pBdr>
          <w:bottom w:val="single" w:sz="12" w:space="1" w:color="auto"/>
        </w:pBdr>
        <w:jc w:val="center"/>
        <w:rPr>
          <w:b/>
          <w:sz w:val="32"/>
          <w:szCs w:val="32"/>
          <w:lang w:val="lv-LV"/>
        </w:rPr>
      </w:pPr>
      <w:r>
        <w:rPr>
          <w:b/>
          <w:sz w:val="32"/>
          <w:szCs w:val="32"/>
          <w:lang w:val="lv-LV"/>
        </w:rPr>
        <w:t>SALACGRĪVAS NOVADA DOME</w:t>
      </w:r>
    </w:p>
    <w:p w14:paraId="5466F2BE" w14:textId="77777777" w:rsidR="000F75F2" w:rsidRDefault="000F75F2" w:rsidP="000F75F2">
      <w:pPr>
        <w:jc w:val="center"/>
        <w:rPr>
          <w:sz w:val="20"/>
          <w:szCs w:val="20"/>
          <w:lang w:val="lv-LV"/>
        </w:rPr>
      </w:pPr>
      <w:r>
        <w:rPr>
          <w:sz w:val="20"/>
          <w:szCs w:val="20"/>
          <w:lang w:val="lv-LV"/>
        </w:rPr>
        <w:t xml:space="preserve">Reģ.Nr.90000059796, Smilšu iela 9, Salacgrīva, Salacgrīvas novads, LV – 4033, </w:t>
      </w:r>
    </w:p>
    <w:p w14:paraId="5466F2BF" w14:textId="77777777" w:rsidR="000F75F2" w:rsidRDefault="000F75F2" w:rsidP="000F75F2">
      <w:pPr>
        <w:jc w:val="center"/>
        <w:rPr>
          <w:sz w:val="20"/>
          <w:szCs w:val="20"/>
          <w:lang w:val="lv-LV"/>
        </w:rPr>
      </w:pPr>
      <w:r>
        <w:rPr>
          <w:sz w:val="20"/>
          <w:szCs w:val="20"/>
          <w:lang w:val="lv-LV"/>
        </w:rPr>
        <w:t xml:space="preserve">Tālrunis sekretārei: 64 071 973; </w:t>
      </w:r>
      <w:smartTag w:uri="schemas-tilde-lv/tildestengine" w:element="veidnes">
        <w:smartTagPr>
          <w:attr w:name="id" w:val="-1"/>
          <w:attr w:name="baseform" w:val="fakss"/>
          <w:attr w:name="text" w:val="fakss"/>
        </w:smartTagPr>
        <w:r>
          <w:rPr>
            <w:sz w:val="20"/>
            <w:szCs w:val="20"/>
            <w:lang w:val="lv-LV"/>
          </w:rPr>
          <w:t>fakss</w:t>
        </w:r>
      </w:smartTag>
      <w:r>
        <w:rPr>
          <w:sz w:val="20"/>
          <w:szCs w:val="20"/>
          <w:lang w:val="lv-LV"/>
        </w:rPr>
        <w:t xml:space="preserve">: 64 071 993; </w:t>
      </w:r>
      <w:r>
        <w:rPr>
          <w:i/>
          <w:sz w:val="20"/>
          <w:szCs w:val="20"/>
          <w:lang w:val="lv-LV"/>
        </w:rPr>
        <w:t>e</w:t>
      </w:r>
      <w:r>
        <w:rPr>
          <w:sz w:val="20"/>
          <w:szCs w:val="20"/>
          <w:lang w:val="lv-LV"/>
        </w:rPr>
        <w:t xml:space="preserve">-pasts: </w:t>
      </w:r>
      <w:hyperlink r:id="rId7" w:history="1">
        <w:r>
          <w:rPr>
            <w:rStyle w:val="Hyperlink"/>
            <w:sz w:val="20"/>
            <w:szCs w:val="20"/>
            <w:lang w:val="lv-LV"/>
          </w:rPr>
          <w:t>dome@salacgriva.lv</w:t>
        </w:r>
      </w:hyperlink>
    </w:p>
    <w:p w14:paraId="5466F2C0" w14:textId="77777777" w:rsidR="000F75F2" w:rsidRDefault="000F75F2" w:rsidP="000F75F2">
      <w:pPr>
        <w:jc w:val="center"/>
        <w:rPr>
          <w:sz w:val="16"/>
          <w:szCs w:val="16"/>
          <w:lang w:val="lv-LV"/>
        </w:rPr>
      </w:pPr>
    </w:p>
    <w:p w14:paraId="5466F2C1" w14:textId="77777777" w:rsidR="000F75F2" w:rsidRDefault="000F75F2" w:rsidP="000F75F2">
      <w:pPr>
        <w:jc w:val="center"/>
        <w:rPr>
          <w:lang w:val="lv-LV"/>
        </w:rPr>
      </w:pPr>
      <w:r>
        <w:rPr>
          <w:lang w:val="lv-LV"/>
        </w:rPr>
        <w:t>Salacgrīvā</w:t>
      </w:r>
    </w:p>
    <w:p w14:paraId="5466F2C2" w14:textId="77777777" w:rsidR="000F75F2" w:rsidRDefault="000F75F2" w:rsidP="000F75F2">
      <w:pPr>
        <w:jc w:val="right"/>
        <w:rPr>
          <w:b/>
          <w:color w:val="000000"/>
          <w:sz w:val="20"/>
          <w:szCs w:val="20"/>
          <w:lang w:val="lv-LV"/>
        </w:rPr>
      </w:pPr>
    </w:p>
    <w:p w14:paraId="5466F2C3" w14:textId="77777777" w:rsidR="000F75F2" w:rsidRDefault="000F75F2" w:rsidP="000F75F2">
      <w:pPr>
        <w:jc w:val="right"/>
        <w:rPr>
          <w:b/>
          <w:color w:val="000000"/>
          <w:sz w:val="20"/>
          <w:szCs w:val="20"/>
          <w:lang w:val="lv-LV"/>
        </w:rPr>
      </w:pPr>
      <w:r>
        <w:rPr>
          <w:b/>
          <w:color w:val="000000"/>
          <w:sz w:val="20"/>
          <w:szCs w:val="20"/>
          <w:lang w:val="lv-LV"/>
        </w:rPr>
        <w:t>APSTIPRINĀTS</w:t>
      </w:r>
    </w:p>
    <w:p w14:paraId="5466F2C4" w14:textId="77777777" w:rsidR="000F75F2" w:rsidRDefault="000F75F2" w:rsidP="000F75F2">
      <w:pPr>
        <w:jc w:val="right"/>
        <w:rPr>
          <w:color w:val="000000"/>
          <w:sz w:val="20"/>
          <w:szCs w:val="20"/>
          <w:lang w:val="lv-LV"/>
        </w:rPr>
      </w:pPr>
      <w:r>
        <w:rPr>
          <w:color w:val="000000"/>
          <w:sz w:val="20"/>
          <w:szCs w:val="20"/>
          <w:lang w:val="lv-LV"/>
        </w:rPr>
        <w:t xml:space="preserve"> ar Salacgrīvas novada domes</w:t>
      </w:r>
    </w:p>
    <w:p w14:paraId="5466F2C5" w14:textId="67B90BF4" w:rsidR="000F75F2" w:rsidRDefault="000F75F2" w:rsidP="000F75F2">
      <w:pPr>
        <w:jc w:val="right"/>
        <w:rPr>
          <w:color w:val="000000"/>
          <w:sz w:val="20"/>
          <w:szCs w:val="20"/>
          <w:lang w:val="lv-LV"/>
        </w:rPr>
      </w:pPr>
      <w:r>
        <w:rPr>
          <w:color w:val="000000"/>
          <w:sz w:val="20"/>
          <w:szCs w:val="20"/>
          <w:lang w:val="lv-LV"/>
        </w:rPr>
        <w:t>201</w:t>
      </w:r>
      <w:r w:rsidR="0061404E">
        <w:rPr>
          <w:color w:val="000000"/>
          <w:sz w:val="20"/>
          <w:szCs w:val="20"/>
          <w:lang w:val="lv-LV"/>
        </w:rPr>
        <w:t>3</w:t>
      </w:r>
      <w:r>
        <w:rPr>
          <w:color w:val="000000"/>
          <w:sz w:val="20"/>
          <w:szCs w:val="20"/>
          <w:lang w:val="lv-LV"/>
        </w:rPr>
        <w:t xml:space="preserve">.gada </w:t>
      </w:r>
      <w:r w:rsidR="00C87C7F">
        <w:rPr>
          <w:color w:val="000000"/>
          <w:sz w:val="20"/>
          <w:szCs w:val="20"/>
          <w:lang w:val="lv-LV"/>
        </w:rPr>
        <w:t>20.novembra sēdes lēmumu Nr.</w:t>
      </w:r>
      <w:r w:rsidR="00F10E88">
        <w:rPr>
          <w:color w:val="000000"/>
          <w:sz w:val="20"/>
          <w:szCs w:val="20"/>
          <w:lang w:val="lv-LV"/>
        </w:rPr>
        <w:t>551</w:t>
      </w:r>
    </w:p>
    <w:p w14:paraId="5466F2C6" w14:textId="182B37D6" w:rsidR="000F75F2" w:rsidRDefault="000F75F2" w:rsidP="000F75F2">
      <w:pPr>
        <w:jc w:val="right"/>
        <w:rPr>
          <w:color w:val="000000"/>
          <w:sz w:val="20"/>
          <w:szCs w:val="20"/>
          <w:lang w:val="lv-LV"/>
        </w:rPr>
      </w:pPr>
      <w:r>
        <w:rPr>
          <w:color w:val="000000"/>
          <w:sz w:val="20"/>
          <w:szCs w:val="20"/>
          <w:lang w:val="lv-LV"/>
        </w:rPr>
        <w:t xml:space="preserve"> (</w:t>
      </w:r>
      <w:r w:rsidR="00511CBB">
        <w:rPr>
          <w:color w:val="000000"/>
          <w:sz w:val="20"/>
          <w:szCs w:val="20"/>
          <w:lang w:val="lv-LV"/>
        </w:rPr>
        <w:t>p</w:t>
      </w:r>
      <w:r>
        <w:rPr>
          <w:color w:val="000000"/>
          <w:sz w:val="20"/>
          <w:szCs w:val="20"/>
          <w:lang w:val="lv-LV"/>
        </w:rPr>
        <w:t>rotokols Nr.</w:t>
      </w:r>
      <w:r w:rsidR="00F10E88">
        <w:rPr>
          <w:color w:val="000000"/>
          <w:sz w:val="20"/>
          <w:szCs w:val="20"/>
          <w:lang w:val="lv-LV"/>
        </w:rPr>
        <w:t>15</w:t>
      </w:r>
      <w:r>
        <w:rPr>
          <w:color w:val="000000"/>
          <w:sz w:val="20"/>
          <w:szCs w:val="20"/>
          <w:lang w:val="lv-LV"/>
        </w:rPr>
        <w:t>; </w:t>
      </w:r>
      <w:r w:rsidR="00F10E88">
        <w:rPr>
          <w:color w:val="000000"/>
          <w:sz w:val="20"/>
          <w:szCs w:val="20"/>
          <w:lang w:val="lv-LV"/>
        </w:rPr>
        <w:t>2</w:t>
      </w:r>
      <w:r>
        <w:rPr>
          <w:color w:val="000000"/>
          <w:sz w:val="20"/>
          <w:szCs w:val="20"/>
          <w:lang w:val="lv-LV"/>
        </w:rPr>
        <w:t>.§)</w:t>
      </w:r>
    </w:p>
    <w:p w14:paraId="5466F2C7" w14:textId="77777777" w:rsidR="000F75F2" w:rsidRDefault="000F75F2" w:rsidP="000F75F2">
      <w:pPr>
        <w:jc w:val="right"/>
        <w:rPr>
          <w:color w:val="000000"/>
          <w:lang w:val="lv-LV"/>
        </w:rPr>
      </w:pPr>
      <w:r>
        <w:rPr>
          <w:color w:val="000000"/>
          <w:lang w:val="lv-LV"/>
        </w:rPr>
        <w:t> </w:t>
      </w:r>
    </w:p>
    <w:p w14:paraId="5466F2C8" w14:textId="77777777" w:rsidR="000F75F2" w:rsidRDefault="000F75F2" w:rsidP="000F75F2">
      <w:pPr>
        <w:keepNext/>
        <w:jc w:val="center"/>
        <w:outlineLvl w:val="0"/>
        <w:rPr>
          <w:b/>
          <w:bCs/>
          <w:color w:val="000000"/>
          <w:kern w:val="36"/>
          <w:sz w:val="28"/>
          <w:szCs w:val="28"/>
          <w:lang w:val="lv-LV"/>
        </w:rPr>
      </w:pPr>
      <w:r>
        <w:rPr>
          <w:b/>
          <w:bCs/>
          <w:color w:val="000000"/>
          <w:kern w:val="36"/>
          <w:sz w:val="28"/>
          <w:szCs w:val="28"/>
          <w:lang w:val="lv-LV"/>
        </w:rPr>
        <w:t>SAISTOŠIE NOTEIKUMI</w:t>
      </w:r>
    </w:p>
    <w:p w14:paraId="5466F2C9" w14:textId="77777777" w:rsidR="000F75F2" w:rsidRDefault="000F75F2" w:rsidP="000F75F2">
      <w:pPr>
        <w:keepNext/>
        <w:jc w:val="center"/>
        <w:outlineLvl w:val="0"/>
        <w:rPr>
          <w:b/>
          <w:bCs/>
          <w:color w:val="000000"/>
          <w:kern w:val="36"/>
          <w:sz w:val="28"/>
          <w:szCs w:val="28"/>
          <w:lang w:val="lv-LV"/>
        </w:rPr>
      </w:pPr>
    </w:p>
    <w:p w14:paraId="5466F2CA" w14:textId="596F7AA4" w:rsidR="000F75F2" w:rsidRDefault="000F75F2" w:rsidP="000F75F2">
      <w:pPr>
        <w:pStyle w:val="BodyTextIndent"/>
        <w:tabs>
          <w:tab w:val="left" w:pos="-5040"/>
          <w:tab w:val="left" w:pos="8460"/>
        </w:tabs>
        <w:ind w:firstLine="0"/>
        <w:rPr>
          <w:b/>
          <w:i w:val="0"/>
          <w:iCs w:val="0"/>
          <w:color w:val="auto"/>
          <w:sz w:val="24"/>
          <w:szCs w:val="24"/>
          <w:lang w:eastAsia="ru-RU"/>
        </w:rPr>
      </w:pPr>
      <w:r>
        <w:rPr>
          <w:i w:val="0"/>
          <w:sz w:val="24"/>
          <w:szCs w:val="24"/>
        </w:rPr>
        <w:t>201</w:t>
      </w:r>
      <w:r w:rsidR="00B1216F">
        <w:rPr>
          <w:i w:val="0"/>
          <w:sz w:val="24"/>
          <w:szCs w:val="24"/>
        </w:rPr>
        <w:t>3</w:t>
      </w:r>
      <w:r>
        <w:rPr>
          <w:i w:val="0"/>
          <w:sz w:val="24"/>
          <w:szCs w:val="24"/>
        </w:rPr>
        <w:t xml:space="preserve">.gada </w:t>
      </w:r>
      <w:r w:rsidR="00B1216F">
        <w:rPr>
          <w:i w:val="0"/>
          <w:sz w:val="24"/>
          <w:szCs w:val="24"/>
        </w:rPr>
        <w:t>20</w:t>
      </w:r>
      <w:r>
        <w:rPr>
          <w:i w:val="0"/>
          <w:sz w:val="24"/>
          <w:szCs w:val="24"/>
        </w:rPr>
        <w:t>.</w:t>
      </w:r>
      <w:r w:rsidR="00C87C7F">
        <w:rPr>
          <w:i w:val="0"/>
          <w:sz w:val="24"/>
          <w:szCs w:val="24"/>
        </w:rPr>
        <w:t>novembrī</w:t>
      </w:r>
      <w:r w:rsidR="0061404E">
        <w:rPr>
          <w:i w:val="0"/>
          <w:sz w:val="24"/>
          <w:szCs w:val="24"/>
        </w:rPr>
        <w:tab/>
      </w:r>
      <w:proofErr w:type="gramStart"/>
      <w:r w:rsidR="00F71392">
        <w:rPr>
          <w:i w:val="0"/>
          <w:sz w:val="24"/>
          <w:szCs w:val="24"/>
        </w:rPr>
        <w:t xml:space="preserve">  </w:t>
      </w:r>
      <w:proofErr w:type="gramEnd"/>
      <w:r>
        <w:rPr>
          <w:b/>
          <w:i w:val="0"/>
          <w:sz w:val="24"/>
          <w:szCs w:val="24"/>
        </w:rPr>
        <w:t xml:space="preserve">Nr. </w:t>
      </w:r>
      <w:r w:rsidR="003F21D0">
        <w:rPr>
          <w:b/>
          <w:i w:val="0"/>
          <w:sz w:val="24"/>
          <w:szCs w:val="24"/>
        </w:rPr>
        <w:t>33</w:t>
      </w:r>
    </w:p>
    <w:p w14:paraId="5466F2CB" w14:textId="77777777" w:rsidR="000F75F2" w:rsidRDefault="000F75F2" w:rsidP="000F75F2">
      <w:pPr>
        <w:jc w:val="right"/>
        <w:rPr>
          <w:lang w:val="lv-LV"/>
        </w:rPr>
      </w:pPr>
    </w:p>
    <w:p w14:paraId="483BDED4" w14:textId="0F5F4207" w:rsidR="00C87C7F" w:rsidRDefault="00C87C7F" w:rsidP="000F75F2">
      <w:pPr>
        <w:jc w:val="center"/>
        <w:rPr>
          <w:b/>
          <w:lang w:val="lv-LV"/>
        </w:rPr>
      </w:pPr>
      <w:r w:rsidRPr="00C87C7F">
        <w:rPr>
          <w:b/>
          <w:lang w:val="lv-LV"/>
        </w:rPr>
        <w:t>Grozījumi Salacgrīvas novada domes 2013.gada 25.septembra saistošajos noteikumos</w:t>
      </w:r>
      <w:proofErr w:type="gramStart"/>
      <w:r w:rsidRPr="00C87C7F">
        <w:rPr>
          <w:b/>
          <w:lang w:val="lv-LV"/>
        </w:rPr>
        <w:t xml:space="preserve"> </w:t>
      </w:r>
      <w:r>
        <w:rPr>
          <w:b/>
          <w:lang w:val="lv-LV"/>
        </w:rPr>
        <w:t xml:space="preserve">           </w:t>
      </w:r>
      <w:proofErr w:type="gramEnd"/>
      <w:r w:rsidRPr="00C87C7F">
        <w:rPr>
          <w:b/>
          <w:lang w:val="lv-LV"/>
        </w:rPr>
        <w:t>Nr. 12 „Par nekustamā īpašuma nodokl</w:t>
      </w:r>
      <w:r>
        <w:rPr>
          <w:b/>
          <w:lang w:val="lv-LV"/>
        </w:rPr>
        <w:t>i Salacgrīvas novadā 2014.gadā</w:t>
      </w:r>
      <w:r w:rsidR="006B2A8E">
        <w:rPr>
          <w:b/>
          <w:lang w:val="lv-LV"/>
        </w:rPr>
        <w:t>”</w:t>
      </w:r>
    </w:p>
    <w:p w14:paraId="3BE058B6" w14:textId="77777777" w:rsidR="00C87C7F" w:rsidRDefault="00C87C7F" w:rsidP="000F75F2">
      <w:pPr>
        <w:jc w:val="center"/>
        <w:rPr>
          <w:b/>
          <w:lang w:val="lv-LV"/>
        </w:rPr>
      </w:pPr>
    </w:p>
    <w:p w14:paraId="28B814F6" w14:textId="77777777" w:rsidR="00C87C7F" w:rsidRDefault="00C87C7F" w:rsidP="000F75F2">
      <w:pPr>
        <w:jc w:val="center"/>
        <w:rPr>
          <w:b/>
          <w:lang w:val="lv-LV"/>
        </w:rPr>
      </w:pPr>
    </w:p>
    <w:p w14:paraId="4EEE27F0" w14:textId="77777777" w:rsidR="00765579" w:rsidRDefault="00765579" w:rsidP="00765579">
      <w:pPr>
        <w:ind w:right="-81"/>
        <w:jc w:val="right"/>
        <w:rPr>
          <w:iCs/>
          <w:sz w:val="18"/>
          <w:szCs w:val="18"/>
          <w:lang w:val="lv-LV" w:eastAsia="lv-LV"/>
        </w:rPr>
      </w:pPr>
      <w:r w:rsidRPr="00765579">
        <w:rPr>
          <w:iCs/>
          <w:sz w:val="18"/>
          <w:szCs w:val="18"/>
          <w:lang w:val="lv-LV" w:eastAsia="lv-LV"/>
        </w:rPr>
        <w:t>Izdoti saskaņā ar likuma</w:t>
      </w:r>
      <w:r>
        <w:rPr>
          <w:iCs/>
          <w:sz w:val="18"/>
          <w:szCs w:val="18"/>
          <w:lang w:val="lv-LV" w:eastAsia="lv-LV"/>
        </w:rPr>
        <w:t xml:space="preserve"> „Par nekustamā īpašuma nodokli”</w:t>
      </w:r>
      <w:r w:rsidRPr="00765579">
        <w:rPr>
          <w:iCs/>
          <w:sz w:val="18"/>
          <w:szCs w:val="18"/>
          <w:lang w:val="lv-LV" w:eastAsia="lv-LV"/>
        </w:rPr>
        <w:t xml:space="preserve"> 3.panta pirmo daļu,</w:t>
      </w:r>
    </w:p>
    <w:p w14:paraId="607AF7F0" w14:textId="583441BA" w:rsidR="00765579" w:rsidRPr="00765579" w:rsidRDefault="00765579" w:rsidP="00765579">
      <w:pPr>
        <w:ind w:right="-81"/>
        <w:jc w:val="right"/>
        <w:rPr>
          <w:iCs/>
          <w:sz w:val="18"/>
          <w:szCs w:val="18"/>
          <w:lang w:val="lv-LV" w:eastAsia="lv-LV"/>
        </w:rPr>
      </w:pPr>
      <w:r w:rsidRPr="00765579">
        <w:rPr>
          <w:iCs/>
          <w:sz w:val="18"/>
          <w:szCs w:val="18"/>
          <w:lang w:val="lv-LV" w:eastAsia="lv-LV"/>
        </w:rPr>
        <w:t xml:space="preserve"> </w:t>
      </w:r>
      <w:r>
        <w:rPr>
          <w:iCs/>
          <w:sz w:val="18"/>
          <w:szCs w:val="18"/>
          <w:lang w:val="lv-LV" w:eastAsia="lv-LV"/>
        </w:rPr>
        <w:t>3.panta 1.</w:t>
      </w:r>
      <w:r w:rsidRPr="00765579">
        <w:rPr>
          <w:iCs/>
          <w:sz w:val="18"/>
          <w:szCs w:val="18"/>
          <w:vertAlign w:val="superscript"/>
          <w:lang w:val="lv-LV" w:eastAsia="lv-LV"/>
        </w:rPr>
        <w:t>1</w:t>
      </w:r>
      <w:r>
        <w:rPr>
          <w:iCs/>
          <w:sz w:val="18"/>
          <w:szCs w:val="18"/>
          <w:lang w:val="lv-LV" w:eastAsia="lv-LV"/>
        </w:rPr>
        <w:t xml:space="preserve"> daļu, </w:t>
      </w:r>
      <w:r w:rsidRPr="00765579">
        <w:rPr>
          <w:iCs/>
          <w:sz w:val="18"/>
          <w:szCs w:val="18"/>
          <w:lang w:val="lv-LV" w:eastAsia="lv-LV"/>
        </w:rPr>
        <w:t>3.panta 1.</w:t>
      </w:r>
      <w:r w:rsidRPr="00765579">
        <w:rPr>
          <w:iCs/>
          <w:sz w:val="18"/>
          <w:szCs w:val="18"/>
          <w:vertAlign w:val="superscript"/>
          <w:lang w:val="lv-LV" w:eastAsia="lv-LV"/>
        </w:rPr>
        <w:t xml:space="preserve">4 </w:t>
      </w:r>
      <w:r w:rsidRPr="00765579">
        <w:rPr>
          <w:iCs/>
          <w:sz w:val="18"/>
          <w:szCs w:val="18"/>
          <w:lang w:val="lv-LV" w:eastAsia="lv-LV"/>
        </w:rPr>
        <w:t>daļu, 9.panta otro daļu,</w:t>
      </w:r>
      <w:proofErr w:type="gramStart"/>
      <w:r w:rsidRPr="00765579">
        <w:rPr>
          <w:iCs/>
          <w:sz w:val="18"/>
          <w:szCs w:val="18"/>
          <w:lang w:val="lv-LV" w:eastAsia="lv-LV"/>
        </w:rPr>
        <w:t xml:space="preserve">  </w:t>
      </w:r>
      <w:proofErr w:type="gramEnd"/>
    </w:p>
    <w:p w14:paraId="5466F2CD" w14:textId="68869949" w:rsidR="000F75F2" w:rsidRDefault="00765579" w:rsidP="00765579">
      <w:pPr>
        <w:ind w:left="4956"/>
        <w:jc w:val="right"/>
        <w:rPr>
          <w:lang w:val="lv-LV"/>
        </w:rPr>
      </w:pPr>
      <w:r w:rsidRPr="00765579">
        <w:rPr>
          <w:iCs/>
          <w:sz w:val="18"/>
          <w:szCs w:val="18"/>
          <w:lang w:val="lv-LV" w:eastAsia="lv-LV"/>
        </w:rPr>
        <w:t>Pārejas noteikumu 40.</w:t>
      </w:r>
      <w:r w:rsidRPr="00765579">
        <w:rPr>
          <w:iCs/>
          <w:sz w:val="18"/>
          <w:szCs w:val="18"/>
          <w:vertAlign w:val="superscript"/>
          <w:lang w:val="lv-LV" w:eastAsia="lv-LV"/>
        </w:rPr>
        <w:t>2</w:t>
      </w:r>
      <w:r w:rsidRPr="00765579">
        <w:rPr>
          <w:iCs/>
          <w:sz w:val="18"/>
          <w:szCs w:val="18"/>
          <w:lang w:val="lv-LV" w:eastAsia="lv-LV"/>
        </w:rPr>
        <w:t xml:space="preserve"> punkt</w:t>
      </w:r>
      <w:r w:rsidRPr="00765579">
        <w:rPr>
          <w:sz w:val="18"/>
          <w:szCs w:val="18"/>
          <w:lang w:val="lv-LV" w:eastAsia="lv-LV"/>
        </w:rPr>
        <w:t>u</w:t>
      </w:r>
    </w:p>
    <w:p w14:paraId="56ED49F5" w14:textId="77777777" w:rsidR="00765579" w:rsidRDefault="00765579" w:rsidP="000F75F2">
      <w:pPr>
        <w:ind w:left="4956"/>
        <w:jc w:val="right"/>
        <w:rPr>
          <w:lang w:val="lv-LV"/>
        </w:rPr>
      </w:pPr>
    </w:p>
    <w:p w14:paraId="683B22F4" w14:textId="77777777" w:rsidR="00765579" w:rsidRDefault="00765579" w:rsidP="000F75F2">
      <w:pPr>
        <w:ind w:left="4956"/>
        <w:jc w:val="right"/>
        <w:rPr>
          <w:lang w:val="lv-LV"/>
        </w:rPr>
      </w:pPr>
    </w:p>
    <w:p w14:paraId="5466F2D1" w14:textId="77777777" w:rsidR="000F75F2" w:rsidRDefault="000F75F2" w:rsidP="000F75F2">
      <w:pPr>
        <w:ind w:left="60"/>
        <w:jc w:val="both"/>
        <w:rPr>
          <w:b/>
          <w:lang w:val="lv-LV"/>
        </w:rPr>
      </w:pPr>
    </w:p>
    <w:p w14:paraId="6F1C2574" w14:textId="06607605" w:rsidR="006B2A8E" w:rsidRDefault="000F75F2" w:rsidP="000F75F2">
      <w:pPr>
        <w:ind w:firstLine="360"/>
        <w:jc w:val="both"/>
        <w:rPr>
          <w:lang w:val="lv-LV"/>
        </w:rPr>
      </w:pPr>
      <w:r>
        <w:rPr>
          <w:lang w:val="lv-LV"/>
        </w:rPr>
        <w:t>Izdarīt Salacgrīvas novada domes 201</w:t>
      </w:r>
      <w:r w:rsidR="006B2A8E">
        <w:rPr>
          <w:lang w:val="lv-LV"/>
        </w:rPr>
        <w:t>3</w:t>
      </w:r>
      <w:r>
        <w:rPr>
          <w:lang w:val="lv-LV"/>
        </w:rPr>
        <w:t xml:space="preserve">. gada </w:t>
      </w:r>
      <w:r w:rsidR="006B2A8E">
        <w:rPr>
          <w:lang w:val="lv-LV"/>
        </w:rPr>
        <w:t>25.septembra</w:t>
      </w:r>
      <w:r>
        <w:rPr>
          <w:lang w:val="lv-LV"/>
        </w:rPr>
        <w:t xml:space="preserve"> saistošajos noteikumos Nr. </w:t>
      </w:r>
      <w:r w:rsidR="006B2A8E">
        <w:rPr>
          <w:lang w:val="lv-LV"/>
        </w:rPr>
        <w:t xml:space="preserve">12 </w:t>
      </w:r>
      <w:r w:rsidR="006B2A8E" w:rsidRPr="006B2A8E">
        <w:rPr>
          <w:lang w:val="lv-LV"/>
        </w:rPr>
        <w:t>„Par nekustamā īpašuma nodokli Salacgrīvas novadā 2014.gadā”</w:t>
      </w:r>
      <w:r w:rsidR="006B2A8E">
        <w:rPr>
          <w:lang w:val="lv-LV"/>
        </w:rPr>
        <w:t xml:space="preserve"> šādus grozījumus:</w:t>
      </w:r>
    </w:p>
    <w:p w14:paraId="0C2508AD" w14:textId="679C62C2" w:rsidR="006B2A8E" w:rsidRDefault="006B2A8E" w:rsidP="000F75F2">
      <w:pPr>
        <w:ind w:firstLine="360"/>
        <w:jc w:val="both"/>
        <w:rPr>
          <w:lang w:val="lv-LV"/>
        </w:rPr>
      </w:pPr>
      <w:r>
        <w:rPr>
          <w:lang w:val="lv-LV"/>
        </w:rPr>
        <w:t>1. Izteikt 1.punktu šādā redakcijā:</w:t>
      </w:r>
    </w:p>
    <w:p w14:paraId="768F0414" w14:textId="444947AE" w:rsidR="006B2A8E" w:rsidRDefault="006B2A8E" w:rsidP="000F75F2">
      <w:pPr>
        <w:ind w:firstLine="360"/>
        <w:jc w:val="both"/>
        <w:rPr>
          <w:lang w:val="lv-LV"/>
        </w:rPr>
      </w:pPr>
      <w:r>
        <w:rPr>
          <w:lang w:val="lv-LV"/>
        </w:rPr>
        <w:t xml:space="preserve">„1. Saistošie noteikumi </w:t>
      </w:r>
      <w:r w:rsidR="0084281D">
        <w:rPr>
          <w:lang w:val="lv-LV"/>
        </w:rPr>
        <w:t xml:space="preserve">(turpmāk – noteikumi) </w:t>
      </w:r>
      <w:r>
        <w:rPr>
          <w:lang w:val="lv-LV"/>
        </w:rPr>
        <w:t>nosaka</w:t>
      </w:r>
      <w:r w:rsidR="00301372">
        <w:rPr>
          <w:lang w:val="lv-LV"/>
        </w:rPr>
        <w:t xml:space="preserve">, kārtību </w:t>
      </w:r>
      <w:r w:rsidR="00301372" w:rsidRPr="00301372">
        <w:rPr>
          <w:lang w:val="lv-LV"/>
        </w:rPr>
        <w:t>kādā 2014.gadā piemēro nekustamā īpašuma nodokļa pieauguma ierobežojumu</w:t>
      </w:r>
      <w:r w:rsidR="00301372">
        <w:rPr>
          <w:lang w:val="lv-LV"/>
        </w:rPr>
        <w:t xml:space="preserve">, </w:t>
      </w:r>
      <w:r w:rsidR="00301372" w:rsidRPr="00301372">
        <w:rPr>
          <w:lang w:val="lv-LV"/>
        </w:rPr>
        <w:t>nekustamā īpašuma nodokļa maksāšanas paziņojumu piespiedu izpildes termiņu</w:t>
      </w:r>
      <w:r w:rsidR="00301372">
        <w:rPr>
          <w:lang w:val="lv-LV"/>
        </w:rPr>
        <w:t xml:space="preserve">, </w:t>
      </w:r>
      <w:r w:rsidR="00301372" w:rsidRPr="00301372">
        <w:rPr>
          <w:lang w:val="lv-LV"/>
        </w:rPr>
        <w:t>kārtību, kādā ar nekustamā īpašuma nodokli tiek apliktas vidi degradējošas, sagruvušas vai cilvēku drošību apdraudošas būves</w:t>
      </w:r>
      <w:r w:rsidR="00301372">
        <w:rPr>
          <w:lang w:val="lv-LV"/>
        </w:rPr>
        <w:t xml:space="preserve"> un k</w:t>
      </w:r>
      <w:r w:rsidR="00301372" w:rsidRPr="00301372">
        <w:rPr>
          <w:lang w:val="lv-LV"/>
        </w:rPr>
        <w:t>ārtību, kādā ar nekustamā īpašuma nodokli tiek aplikta neapstrādāta l</w:t>
      </w:r>
      <w:r w:rsidR="00301372">
        <w:rPr>
          <w:lang w:val="lv-LV"/>
        </w:rPr>
        <w:t>auksaimniecībā izmantojama zeme.</w:t>
      </w:r>
    </w:p>
    <w:p w14:paraId="64C33CA3" w14:textId="2F8677DC" w:rsidR="0055612A" w:rsidRDefault="0055612A" w:rsidP="0084281D">
      <w:pPr>
        <w:ind w:firstLine="360"/>
        <w:jc w:val="both"/>
        <w:rPr>
          <w:lang w:val="lv-LV"/>
        </w:rPr>
      </w:pPr>
      <w:r>
        <w:rPr>
          <w:lang w:val="lv-LV"/>
        </w:rPr>
        <w:t xml:space="preserve">2. Papildināt ar </w:t>
      </w:r>
      <w:r w:rsidRPr="0055612A">
        <w:rPr>
          <w:lang w:val="lv-LV"/>
        </w:rPr>
        <w:t>1.</w:t>
      </w:r>
      <w:r w:rsidRPr="0055612A">
        <w:rPr>
          <w:vertAlign w:val="superscript"/>
          <w:lang w:val="lv-LV"/>
        </w:rPr>
        <w:t>1</w:t>
      </w:r>
      <w:r w:rsidRPr="0055612A">
        <w:rPr>
          <w:lang w:val="lv-LV"/>
        </w:rPr>
        <w:t>punktu šādā redakcijā</w:t>
      </w:r>
      <w:r>
        <w:rPr>
          <w:lang w:val="lv-LV"/>
        </w:rPr>
        <w:t>:</w:t>
      </w:r>
    </w:p>
    <w:p w14:paraId="427FAFA5" w14:textId="7337DA68" w:rsidR="0055612A" w:rsidRPr="0084281D" w:rsidRDefault="0055612A" w:rsidP="0055612A">
      <w:pPr>
        <w:ind w:firstLine="360"/>
        <w:jc w:val="both"/>
        <w:rPr>
          <w:lang w:val="lv-LV"/>
        </w:rPr>
      </w:pPr>
      <w:r>
        <w:rPr>
          <w:lang w:val="lv-LV"/>
        </w:rPr>
        <w:t>„</w:t>
      </w:r>
      <w:r w:rsidRPr="0055612A">
        <w:rPr>
          <w:lang w:val="lv-LV"/>
        </w:rPr>
        <w:t>1.</w:t>
      </w:r>
      <w:r w:rsidRPr="0055612A">
        <w:rPr>
          <w:vertAlign w:val="superscript"/>
          <w:lang w:val="lv-LV"/>
        </w:rPr>
        <w:t>1</w:t>
      </w:r>
      <w:r>
        <w:rPr>
          <w:lang w:val="lv-LV"/>
        </w:rPr>
        <w:t xml:space="preserve"> </w:t>
      </w:r>
      <w:r w:rsidRPr="0084281D">
        <w:rPr>
          <w:lang w:val="lv-LV"/>
        </w:rPr>
        <w:t xml:space="preserve">Noteikt, ka pēc nekustamā īpašuma kadastrālās vērtības aktualizācijas nekustamā īpašuma nodokļa apmērs, ja nemainās nekustamā īpašuma lietošanas mērķis, atsevišķi par katru zemes vienību 2014. gadā nedrīkst pārsniegt iepriekšējam taksācijas gadam aprēķināto nodokļa apmēru (neņemot vērā atvieglojumus) vairāk kā par 25 procentiem. Nekustamā īpašuma nodokļa apmēra pieauguma ierobežojums tiek piemērots arī tādiem nekustamā īpašuma nodokļa objektiem daudzdzīvokļu dzīvojamā mājā, kuri sastāv no vienas telpu grupas un zemes domājamām daļām: </w:t>
      </w:r>
    </w:p>
    <w:p w14:paraId="378235B1" w14:textId="119AF826" w:rsidR="0055612A" w:rsidRPr="0084281D" w:rsidRDefault="0055612A" w:rsidP="0055612A">
      <w:pPr>
        <w:ind w:firstLine="360"/>
        <w:jc w:val="both"/>
        <w:rPr>
          <w:lang w:val="lv-LV"/>
        </w:rPr>
      </w:pPr>
      <w:r w:rsidRPr="0084281D">
        <w:rPr>
          <w:lang w:val="lv-LV"/>
        </w:rPr>
        <w:t>1.</w:t>
      </w:r>
      <w:r w:rsidRPr="0055612A">
        <w:rPr>
          <w:vertAlign w:val="superscript"/>
          <w:lang w:val="lv-LV"/>
        </w:rPr>
        <w:t>1</w:t>
      </w:r>
      <w:r w:rsidRPr="0084281D">
        <w:rPr>
          <w:lang w:val="lv-LV"/>
        </w:rPr>
        <w:t xml:space="preserve">1. kuri no jauna izveidoti privatizācijas rezultātā. Šādā gadījumā nekustamā īpašuma nodokļa pieauguma ierobežojumu piemēro, </w:t>
      </w:r>
      <w:proofErr w:type="gramStart"/>
      <w:r w:rsidRPr="0084281D">
        <w:rPr>
          <w:lang w:val="lv-LV"/>
        </w:rPr>
        <w:t>vadoties no</w:t>
      </w:r>
      <w:proofErr w:type="gramEnd"/>
      <w:r w:rsidRPr="0084281D">
        <w:rPr>
          <w:lang w:val="lv-LV"/>
        </w:rPr>
        <w:t xml:space="preserve"> iepriekšējam taksācijas gadam aprēķinātā nodokļa par nesadalīto zemes vienību, kas bija piekritīga katram atsevišķam dzīvoklim vai nedzīvojamai telpai;</w:t>
      </w:r>
    </w:p>
    <w:p w14:paraId="2F10B898" w14:textId="2828B915" w:rsidR="0055612A" w:rsidRDefault="0055612A" w:rsidP="0055612A">
      <w:pPr>
        <w:ind w:firstLine="360"/>
        <w:jc w:val="both"/>
        <w:rPr>
          <w:lang w:val="lv-LV"/>
        </w:rPr>
      </w:pPr>
      <w:r w:rsidRPr="0084281D">
        <w:rPr>
          <w:lang w:val="lv-LV"/>
        </w:rPr>
        <w:t>1.</w:t>
      </w:r>
      <w:r>
        <w:rPr>
          <w:vertAlign w:val="superscript"/>
          <w:lang w:val="lv-LV"/>
        </w:rPr>
        <w:t>1</w:t>
      </w:r>
      <w:r w:rsidRPr="0084281D">
        <w:rPr>
          <w:lang w:val="lv-LV"/>
        </w:rPr>
        <w:t>2. ja attiecīgajai telpu grupai Nekustamā īpašuma valsts kadastra reģistrā nav mainīts telpu grupas lietošanas veids, arī gadījumos, ja zemei ir mainīts nekustamā īpašuma lietošanas mērķis.</w:t>
      </w:r>
      <w:r>
        <w:rPr>
          <w:lang w:val="lv-LV"/>
        </w:rPr>
        <w:t>”</w:t>
      </w:r>
    </w:p>
    <w:p w14:paraId="377CD735" w14:textId="776362C5" w:rsidR="00D35AA9" w:rsidRDefault="0055612A" w:rsidP="0055612A">
      <w:pPr>
        <w:ind w:firstLine="360"/>
        <w:jc w:val="both"/>
        <w:rPr>
          <w:lang w:val="lv-LV"/>
        </w:rPr>
      </w:pPr>
      <w:r>
        <w:rPr>
          <w:lang w:val="lv-LV"/>
        </w:rPr>
        <w:t xml:space="preserve">3. </w:t>
      </w:r>
      <w:r w:rsidR="00D35AA9" w:rsidRPr="00D35AA9">
        <w:rPr>
          <w:lang w:val="lv-LV"/>
        </w:rPr>
        <w:tab/>
      </w:r>
      <w:r w:rsidR="00D35AA9">
        <w:rPr>
          <w:lang w:val="lv-LV"/>
        </w:rPr>
        <w:t>A</w:t>
      </w:r>
      <w:r w:rsidR="00D35AA9" w:rsidRPr="00D35AA9">
        <w:rPr>
          <w:lang w:val="lv-LV"/>
        </w:rPr>
        <w:t xml:space="preserve">izstāt </w:t>
      </w:r>
      <w:r w:rsidR="00D35AA9">
        <w:rPr>
          <w:lang w:val="lv-LV"/>
        </w:rPr>
        <w:t>2.</w:t>
      </w:r>
      <w:r w:rsidR="00D35AA9" w:rsidRPr="00D35AA9">
        <w:rPr>
          <w:lang w:val="lv-LV"/>
        </w:rPr>
        <w:t>punktā</w:t>
      </w:r>
      <w:r w:rsidR="00D35AA9">
        <w:rPr>
          <w:lang w:val="lv-LV"/>
        </w:rPr>
        <w:t xml:space="preserve"> skaitli un vārdu „1.punktā” ar skaitli un vārdu „</w:t>
      </w:r>
      <w:r w:rsidR="00D35AA9" w:rsidRPr="00D35AA9">
        <w:rPr>
          <w:lang w:val="lv-LV"/>
        </w:rPr>
        <w:t>1.</w:t>
      </w:r>
      <w:r w:rsidR="00D35AA9" w:rsidRPr="00D35AA9">
        <w:rPr>
          <w:vertAlign w:val="superscript"/>
          <w:lang w:val="lv-LV"/>
        </w:rPr>
        <w:t>1</w:t>
      </w:r>
      <w:r w:rsidR="00D35AA9" w:rsidRPr="00D35AA9">
        <w:rPr>
          <w:lang w:val="lv-LV"/>
        </w:rPr>
        <w:t>punkt</w:t>
      </w:r>
      <w:r w:rsidR="00D35AA9">
        <w:rPr>
          <w:lang w:val="lv-LV"/>
        </w:rPr>
        <w:t>ā”.</w:t>
      </w:r>
    </w:p>
    <w:p w14:paraId="45C0254A" w14:textId="51B52EC1" w:rsidR="00D35AA9" w:rsidRDefault="00D35AA9" w:rsidP="0055612A">
      <w:pPr>
        <w:ind w:firstLine="360"/>
        <w:jc w:val="both"/>
        <w:rPr>
          <w:lang w:val="lv-LV"/>
        </w:rPr>
      </w:pPr>
      <w:r>
        <w:rPr>
          <w:lang w:val="lv-LV"/>
        </w:rPr>
        <w:lastRenderedPageBreak/>
        <w:t xml:space="preserve">4. </w:t>
      </w:r>
      <w:r w:rsidRPr="00D35AA9">
        <w:rPr>
          <w:lang w:val="lv-LV"/>
        </w:rPr>
        <w:t xml:space="preserve">Aizstāt </w:t>
      </w:r>
      <w:r>
        <w:rPr>
          <w:lang w:val="lv-LV"/>
        </w:rPr>
        <w:t>3</w:t>
      </w:r>
      <w:r w:rsidRPr="00D35AA9">
        <w:rPr>
          <w:lang w:val="lv-LV"/>
        </w:rPr>
        <w:t>.punktā skaitli un vārdu „1.punktā” ar skaitli un vārdu „1.</w:t>
      </w:r>
      <w:r w:rsidRPr="00B36FA5">
        <w:rPr>
          <w:vertAlign w:val="superscript"/>
          <w:lang w:val="lv-LV"/>
        </w:rPr>
        <w:t>1</w:t>
      </w:r>
      <w:r w:rsidRPr="00D35AA9">
        <w:rPr>
          <w:lang w:val="lv-LV"/>
        </w:rPr>
        <w:t>punktā”</w:t>
      </w:r>
      <w:r w:rsidR="00B36FA5">
        <w:rPr>
          <w:lang w:val="lv-LV"/>
        </w:rPr>
        <w:t>.</w:t>
      </w:r>
    </w:p>
    <w:p w14:paraId="5422AF8A" w14:textId="6EEC4624" w:rsidR="00B36FA5" w:rsidRDefault="00B36FA5" w:rsidP="0055612A">
      <w:pPr>
        <w:ind w:firstLine="360"/>
        <w:jc w:val="both"/>
        <w:rPr>
          <w:lang w:val="lv-LV"/>
        </w:rPr>
      </w:pPr>
      <w:r>
        <w:rPr>
          <w:lang w:val="lv-LV"/>
        </w:rPr>
        <w:t xml:space="preserve">5. </w:t>
      </w:r>
      <w:r w:rsidRPr="00B36FA5">
        <w:rPr>
          <w:lang w:val="lv-LV"/>
        </w:rPr>
        <w:t xml:space="preserve">Aizstāt </w:t>
      </w:r>
      <w:r>
        <w:rPr>
          <w:lang w:val="lv-LV"/>
        </w:rPr>
        <w:t>4</w:t>
      </w:r>
      <w:r w:rsidRPr="00B36FA5">
        <w:rPr>
          <w:lang w:val="lv-LV"/>
        </w:rPr>
        <w:t>.punktā skaitli un vārdu „1.punkt</w:t>
      </w:r>
      <w:r>
        <w:rPr>
          <w:lang w:val="lv-LV"/>
        </w:rPr>
        <w:t>u</w:t>
      </w:r>
      <w:r w:rsidRPr="00B36FA5">
        <w:rPr>
          <w:lang w:val="lv-LV"/>
        </w:rPr>
        <w:t>” ar skaitli un vārdu „1.</w:t>
      </w:r>
      <w:r w:rsidRPr="00B36FA5">
        <w:rPr>
          <w:vertAlign w:val="superscript"/>
          <w:lang w:val="lv-LV"/>
        </w:rPr>
        <w:t>1</w:t>
      </w:r>
      <w:r w:rsidRPr="00B36FA5">
        <w:rPr>
          <w:lang w:val="lv-LV"/>
        </w:rPr>
        <w:t>punkt</w:t>
      </w:r>
      <w:r>
        <w:rPr>
          <w:lang w:val="lv-LV"/>
        </w:rPr>
        <w:t>u</w:t>
      </w:r>
      <w:r w:rsidRPr="00B36FA5">
        <w:rPr>
          <w:lang w:val="lv-LV"/>
        </w:rPr>
        <w:t>”.</w:t>
      </w:r>
    </w:p>
    <w:p w14:paraId="28FC40DF" w14:textId="77777777" w:rsidR="00D35AA9" w:rsidRDefault="00D35AA9" w:rsidP="0055612A">
      <w:pPr>
        <w:ind w:firstLine="360"/>
        <w:jc w:val="both"/>
        <w:rPr>
          <w:lang w:val="lv-LV"/>
        </w:rPr>
      </w:pPr>
    </w:p>
    <w:p w14:paraId="5466F2DB" w14:textId="77777777" w:rsidR="00912EA5" w:rsidRDefault="00912EA5" w:rsidP="000F75F2">
      <w:pPr>
        <w:jc w:val="both"/>
        <w:rPr>
          <w:lang w:val="lv-LV"/>
        </w:rPr>
      </w:pPr>
    </w:p>
    <w:p w14:paraId="5466F2DC" w14:textId="77777777" w:rsidR="00912EA5" w:rsidRDefault="00912EA5" w:rsidP="000F75F2">
      <w:pPr>
        <w:jc w:val="both"/>
        <w:rPr>
          <w:lang w:val="lv-LV"/>
        </w:rPr>
      </w:pPr>
    </w:p>
    <w:p w14:paraId="793DE7C8" w14:textId="77777777" w:rsidR="00363E44" w:rsidRDefault="000F75F2" w:rsidP="000F75F2">
      <w:pPr>
        <w:jc w:val="both"/>
        <w:rPr>
          <w:lang w:val="lv-LV"/>
        </w:rPr>
      </w:pPr>
      <w:r>
        <w:rPr>
          <w:lang w:val="lv-LV"/>
        </w:rPr>
        <w:t>Salacgrīvas n</w:t>
      </w:r>
      <w:r w:rsidR="00912EA5">
        <w:rPr>
          <w:lang w:val="lv-LV"/>
        </w:rPr>
        <w:t>ovada domes</w:t>
      </w:r>
    </w:p>
    <w:p w14:paraId="5466F2DD" w14:textId="292C7BA1" w:rsidR="000F75F2" w:rsidRDefault="00912EA5" w:rsidP="000F75F2">
      <w:pPr>
        <w:jc w:val="both"/>
        <w:rPr>
          <w:lang w:val="lv-LV"/>
        </w:rPr>
      </w:pPr>
      <w:bookmarkStart w:id="0" w:name="_GoBack"/>
      <w:bookmarkEnd w:id="0"/>
      <w:r>
        <w:rPr>
          <w:lang w:val="lv-LV"/>
        </w:rPr>
        <w:t>priekšsēdētājs</w:t>
      </w:r>
      <w:r>
        <w:rPr>
          <w:lang w:val="lv-LV"/>
        </w:rPr>
        <w:tab/>
      </w:r>
      <w:r>
        <w:rPr>
          <w:lang w:val="lv-LV"/>
        </w:rPr>
        <w:tab/>
      </w:r>
      <w:r>
        <w:rPr>
          <w:lang w:val="lv-LV"/>
        </w:rPr>
        <w:tab/>
      </w:r>
      <w:r>
        <w:rPr>
          <w:lang w:val="lv-LV"/>
        </w:rPr>
        <w:tab/>
      </w:r>
      <w:r w:rsidR="00363E44">
        <w:rPr>
          <w:lang w:val="lv-LV"/>
        </w:rPr>
        <w:tab/>
      </w:r>
      <w:r w:rsidR="00363E44">
        <w:rPr>
          <w:lang w:val="lv-LV"/>
        </w:rPr>
        <w:tab/>
      </w:r>
      <w:r w:rsidR="00363E44">
        <w:rPr>
          <w:lang w:val="lv-LV"/>
        </w:rPr>
        <w:tab/>
      </w:r>
      <w:r w:rsidR="00363E44">
        <w:rPr>
          <w:lang w:val="lv-LV"/>
        </w:rPr>
        <w:tab/>
      </w:r>
      <w:r w:rsidR="000F75F2">
        <w:rPr>
          <w:lang w:val="lv-LV"/>
        </w:rPr>
        <w:t xml:space="preserve">Dagnis </w:t>
      </w:r>
      <w:proofErr w:type="spellStart"/>
      <w:r w:rsidR="000F75F2">
        <w:rPr>
          <w:lang w:val="lv-LV"/>
        </w:rPr>
        <w:t>Straubergs</w:t>
      </w:r>
      <w:proofErr w:type="spellEnd"/>
    </w:p>
    <w:p w14:paraId="5466F2DE" w14:textId="77777777" w:rsidR="005253D0" w:rsidRPr="000F75F2" w:rsidRDefault="005253D0">
      <w:pPr>
        <w:rPr>
          <w:lang w:val="lv-LV"/>
        </w:rPr>
      </w:pPr>
    </w:p>
    <w:sectPr w:rsidR="005253D0" w:rsidRPr="000F75F2" w:rsidSect="00063CEE">
      <w:pgSz w:w="11906" w:h="16838"/>
      <w:pgMar w:top="567" w:right="709" w:bottom="1440"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B75EE9"/>
    <w:multiLevelType w:val="hybridMultilevel"/>
    <w:tmpl w:val="262CC398"/>
    <w:lvl w:ilvl="0" w:tplc="72CC83F8">
      <w:start w:val="2"/>
      <w:numFmt w:val="decimal"/>
      <w:lvlText w:val="%1."/>
      <w:lvlJc w:val="left"/>
      <w:pPr>
        <w:ind w:left="1080" w:hanging="360"/>
      </w:pPr>
      <w:rPr>
        <w:rFonts w:cs="Times New Roman"/>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
    <w:nsid w:val="69FE126A"/>
    <w:multiLevelType w:val="hybridMultilevel"/>
    <w:tmpl w:val="E1E81F2A"/>
    <w:lvl w:ilvl="0" w:tplc="CC56819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5F2"/>
    <w:rsid w:val="00063CEE"/>
    <w:rsid w:val="000A6E8B"/>
    <w:rsid w:val="000C53C3"/>
    <w:rsid w:val="000F75F2"/>
    <w:rsid w:val="00110DA8"/>
    <w:rsid w:val="00277DA4"/>
    <w:rsid w:val="00301372"/>
    <w:rsid w:val="00363E44"/>
    <w:rsid w:val="003A07EF"/>
    <w:rsid w:val="003F21D0"/>
    <w:rsid w:val="00511CBB"/>
    <w:rsid w:val="005253D0"/>
    <w:rsid w:val="0055612A"/>
    <w:rsid w:val="0061404E"/>
    <w:rsid w:val="006B2A8E"/>
    <w:rsid w:val="006D20EA"/>
    <w:rsid w:val="00765579"/>
    <w:rsid w:val="007C0C5C"/>
    <w:rsid w:val="007E18D6"/>
    <w:rsid w:val="0084281D"/>
    <w:rsid w:val="00865538"/>
    <w:rsid w:val="008F7E72"/>
    <w:rsid w:val="00912EA5"/>
    <w:rsid w:val="00A20690"/>
    <w:rsid w:val="00B1216F"/>
    <w:rsid w:val="00B36FA5"/>
    <w:rsid w:val="00BB5BDA"/>
    <w:rsid w:val="00C42927"/>
    <w:rsid w:val="00C87C7F"/>
    <w:rsid w:val="00CE4291"/>
    <w:rsid w:val="00D35AA9"/>
    <w:rsid w:val="00DF1B3F"/>
    <w:rsid w:val="00E9618A"/>
    <w:rsid w:val="00EE2C85"/>
    <w:rsid w:val="00F10E88"/>
    <w:rsid w:val="00F7139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466F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75F2"/>
    <w:pPr>
      <w:spacing w:after="0" w:line="240" w:lineRule="auto"/>
    </w:pPr>
    <w:rPr>
      <w:rFonts w:ascii="Times New Roman" w:eastAsia="Times New Roman" w:hAnsi="Times New Roman" w:cs="Times New Roman"/>
      <w:sz w:val="24"/>
      <w:szCs w:val="24"/>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F75F2"/>
    <w:rPr>
      <w:rFonts w:ascii="Times New Roman" w:hAnsi="Times New Roman" w:cs="Times New Roman" w:hint="default"/>
      <w:color w:val="0000FF"/>
      <w:u w:val="single"/>
    </w:rPr>
  </w:style>
  <w:style w:type="paragraph" w:styleId="BodyTextIndent">
    <w:name w:val="Body Text Indent"/>
    <w:basedOn w:val="Normal"/>
    <w:link w:val="BodyTextIndentChar"/>
    <w:uiPriority w:val="99"/>
    <w:semiHidden/>
    <w:unhideWhenUsed/>
    <w:rsid w:val="000F75F2"/>
    <w:pPr>
      <w:widowControl w:val="0"/>
      <w:suppressAutoHyphens/>
      <w:ind w:firstLine="720"/>
      <w:jc w:val="both"/>
    </w:pPr>
    <w:rPr>
      <w:rFonts w:eastAsia="Calibri"/>
      <w:i/>
      <w:iCs/>
      <w:color w:val="000000"/>
      <w:sz w:val="28"/>
      <w:szCs w:val="20"/>
      <w:lang w:val="lv-LV" w:eastAsia="lv-LV"/>
    </w:rPr>
  </w:style>
  <w:style w:type="character" w:customStyle="1" w:styleId="BodyTextIndentChar">
    <w:name w:val="Body Text Indent Char"/>
    <w:basedOn w:val="DefaultParagraphFont"/>
    <w:link w:val="BodyTextIndent"/>
    <w:uiPriority w:val="99"/>
    <w:semiHidden/>
    <w:rsid w:val="000F75F2"/>
    <w:rPr>
      <w:rFonts w:ascii="Times New Roman" w:eastAsia="Calibri" w:hAnsi="Times New Roman" w:cs="Times New Roman"/>
      <w:i/>
      <w:iCs/>
      <w:color w:val="000000"/>
      <w:sz w:val="28"/>
      <w:szCs w:val="20"/>
      <w:lang w:eastAsia="lv-LV"/>
    </w:rPr>
  </w:style>
  <w:style w:type="paragraph" w:styleId="ListParagraph">
    <w:name w:val="List Paragraph"/>
    <w:basedOn w:val="Normal"/>
    <w:uiPriority w:val="99"/>
    <w:qFormat/>
    <w:rsid w:val="000F75F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75F2"/>
    <w:pPr>
      <w:spacing w:after="0" w:line="240" w:lineRule="auto"/>
    </w:pPr>
    <w:rPr>
      <w:rFonts w:ascii="Times New Roman" w:eastAsia="Times New Roman" w:hAnsi="Times New Roman" w:cs="Times New Roman"/>
      <w:sz w:val="24"/>
      <w:szCs w:val="24"/>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F75F2"/>
    <w:rPr>
      <w:rFonts w:ascii="Times New Roman" w:hAnsi="Times New Roman" w:cs="Times New Roman" w:hint="default"/>
      <w:color w:val="0000FF"/>
      <w:u w:val="single"/>
    </w:rPr>
  </w:style>
  <w:style w:type="paragraph" w:styleId="BodyTextIndent">
    <w:name w:val="Body Text Indent"/>
    <w:basedOn w:val="Normal"/>
    <w:link w:val="BodyTextIndentChar"/>
    <w:uiPriority w:val="99"/>
    <w:semiHidden/>
    <w:unhideWhenUsed/>
    <w:rsid w:val="000F75F2"/>
    <w:pPr>
      <w:widowControl w:val="0"/>
      <w:suppressAutoHyphens/>
      <w:ind w:firstLine="720"/>
      <w:jc w:val="both"/>
    </w:pPr>
    <w:rPr>
      <w:rFonts w:eastAsia="Calibri"/>
      <w:i/>
      <w:iCs/>
      <w:color w:val="000000"/>
      <w:sz w:val="28"/>
      <w:szCs w:val="20"/>
      <w:lang w:val="lv-LV" w:eastAsia="lv-LV"/>
    </w:rPr>
  </w:style>
  <w:style w:type="character" w:customStyle="1" w:styleId="BodyTextIndentChar">
    <w:name w:val="Body Text Indent Char"/>
    <w:basedOn w:val="DefaultParagraphFont"/>
    <w:link w:val="BodyTextIndent"/>
    <w:uiPriority w:val="99"/>
    <w:semiHidden/>
    <w:rsid w:val="000F75F2"/>
    <w:rPr>
      <w:rFonts w:ascii="Times New Roman" w:eastAsia="Calibri" w:hAnsi="Times New Roman" w:cs="Times New Roman"/>
      <w:i/>
      <w:iCs/>
      <w:color w:val="000000"/>
      <w:sz w:val="28"/>
      <w:szCs w:val="20"/>
      <w:lang w:eastAsia="lv-LV"/>
    </w:rPr>
  </w:style>
  <w:style w:type="paragraph" w:styleId="ListParagraph">
    <w:name w:val="List Paragraph"/>
    <w:basedOn w:val="Normal"/>
    <w:uiPriority w:val="99"/>
    <w:qFormat/>
    <w:rsid w:val="000F75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0352722">
      <w:bodyDiv w:val="1"/>
      <w:marLeft w:val="0"/>
      <w:marRight w:val="0"/>
      <w:marTop w:val="0"/>
      <w:marBottom w:val="0"/>
      <w:divBdr>
        <w:top w:val="none" w:sz="0" w:space="0" w:color="auto"/>
        <w:left w:val="none" w:sz="0" w:space="0" w:color="auto"/>
        <w:bottom w:val="none" w:sz="0" w:space="0" w:color="auto"/>
        <w:right w:val="none" w:sz="0" w:space="0" w:color="auto"/>
      </w:divBdr>
    </w:div>
    <w:div w:id="1572351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dome@salacgriv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Pages>
  <Words>1773</Words>
  <Characters>1012</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dc:creator>
  <cp:lastModifiedBy>Inita Hartmane</cp:lastModifiedBy>
  <cp:revision>14</cp:revision>
  <dcterms:created xsi:type="dcterms:W3CDTF">2013-11-08T07:49:00Z</dcterms:created>
  <dcterms:modified xsi:type="dcterms:W3CDTF">2013-11-21T07:09:00Z</dcterms:modified>
</cp:coreProperties>
</file>