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A97" w:rsidRDefault="00F00A97" w:rsidP="00F00A97">
      <w:pPr>
        <w:rPr>
          <w:rFonts w:ascii="Arial" w:hAnsi="Arial" w:cs="Arial"/>
          <w:b/>
        </w:rPr>
      </w:pPr>
    </w:p>
    <w:p w:rsidR="00F00A97" w:rsidRDefault="00F00A97" w:rsidP="00F00A97">
      <w:pPr>
        <w:jc w:val="center"/>
        <w:rPr>
          <w:rFonts w:ascii="Arial" w:hAnsi="Arial" w:cs="Arial"/>
          <w:b/>
        </w:rPr>
      </w:pPr>
      <w:r>
        <w:rPr>
          <w:rFonts w:ascii="Arial" w:hAnsi="Arial" w:cs="Arial"/>
          <w:b/>
        </w:rPr>
        <w:t>Uguņošanas ierīču un skatuves pirotehnisko izstrādājumu demonstrēšanas saskaņošana</w:t>
      </w:r>
    </w:p>
    <w:p w:rsidR="00F00A97" w:rsidRDefault="00F00A97" w:rsidP="00F00A97">
      <w:pPr>
        <w:jc w:val="cente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086"/>
        <w:gridCol w:w="5542"/>
      </w:tblGrid>
      <w:tr w:rsidR="00F00A97" w:rsidTr="00F00A97">
        <w:tc>
          <w:tcPr>
            <w:tcW w:w="514" w:type="dxa"/>
          </w:tcPr>
          <w:p w:rsidR="00F00A97" w:rsidRPr="004F7EF8" w:rsidRDefault="00F00A97" w:rsidP="00A55A01">
            <w:pPr>
              <w:rPr>
                <w:b/>
                <w:sz w:val="19"/>
                <w:szCs w:val="19"/>
              </w:rPr>
            </w:pPr>
            <w:r w:rsidRPr="004F7EF8">
              <w:rPr>
                <w:b/>
                <w:sz w:val="19"/>
                <w:szCs w:val="19"/>
              </w:rPr>
              <w:t>1.</w:t>
            </w:r>
          </w:p>
        </w:tc>
        <w:tc>
          <w:tcPr>
            <w:tcW w:w="4086" w:type="dxa"/>
          </w:tcPr>
          <w:p w:rsidR="00F00A97" w:rsidRPr="004F7EF8" w:rsidRDefault="00F00A97" w:rsidP="00A55A01">
            <w:pPr>
              <w:rPr>
                <w:rFonts w:ascii="Arial" w:hAnsi="Arial" w:cs="Arial"/>
                <w:b/>
                <w:sz w:val="20"/>
                <w:szCs w:val="20"/>
              </w:rPr>
            </w:pPr>
            <w:r w:rsidRPr="004F7EF8">
              <w:rPr>
                <w:rFonts w:ascii="Arial" w:hAnsi="Arial" w:cs="Arial"/>
                <w:b/>
                <w:sz w:val="20"/>
                <w:szCs w:val="20"/>
              </w:rPr>
              <w:t>Pakalpojuma nosaukums</w:t>
            </w:r>
          </w:p>
          <w:p w:rsidR="00F00A97" w:rsidRPr="004F7EF8" w:rsidRDefault="00F00A97" w:rsidP="00A55A01">
            <w:pPr>
              <w:rPr>
                <w:rFonts w:ascii="Arial" w:hAnsi="Arial" w:cs="Arial"/>
                <w:b/>
                <w:sz w:val="20"/>
                <w:szCs w:val="20"/>
              </w:rPr>
            </w:pPr>
          </w:p>
        </w:tc>
        <w:tc>
          <w:tcPr>
            <w:tcW w:w="5542" w:type="dxa"/>
          </w:tcPr>
          <w:p w:rsidR="00F00A97" w:rsidRPr="00D843FD" w:rsidRDefault="00F00A97" w:rsidP="00F00A97">
            <w:pPr>
              <w:jc w:val="center"/>
              <w:rPr>
                <w:rFonts w:ascii="Arial" w:hAnsi="Arial" w:cs="Arial"/>
                <w:b/>
              </w:rPr>
            </w:pPr>
            <w:r>
              <w:rPr>
                <w:rFonts w:ascii="Arial" w:hAnsi="Arial" w:cs="Arial"/>
                <w:b/>
              </w:rPr>
              <w:t>Uguņošanas ierīču un skatuves pirotehnisko izstrādājumu demonstrēšanas saskaņošana</w:t>
            </w:r>
          </w:p>
        </w:tc>
      </w:tr>
      <w:tr w:rsidR="00F00A97" w:rsidTr="00F00A97">
        <w:tc>
          <w:tcPr>
            <w:tcW w:w="514" w:type="dxa"/>
          </w:tcPr>
          <w:p w:rsidR="00F00A97" w:rsidRPr="004F7EF8" w:rsidRDefault="00F00A97" w:rsidP="00A55A01">
            <w:pPr>
              <w:rPr>
                <w:b/>
                <w:sz w:val="19"/>
                <w:szCs w:val="19"/>
              </w:rPr>
            </w:pPr>
            <w:r w:rsidRPr="004F7EF8">
              <w:rPr>
                <w:b/>
                <w:sz w:val="19"/>
                <w:szCs w:val="19"/>
              </w:rPr>
              <w:t>2.</w:t>
            </w:r>
          </w:p>
        </w:tc>
        <w:tc>
          <w:tcPr>
            <w:tcW w:w="4086" w:type="dxa"/>
          </w:tcPr>
          <w:p w:rsidR="00F00A97" w:rsidRPr="004F7EF8" w:rsidRDefault="00F00A97" w:rsidP="00A55A01">
            <w:pPr>
              <w:rPr>
                <w:rFonts w:ascii="Arial" w:hAnsi="Arial" w:cs="Arial"/>
                <w:b/>
                <w:sz w:val="20"/>
                <w:szCs w:val="20"/>
              </w:rPr>
            </w:pPr>
            <w:r w:rsidRPr="004F7EF8">
              <w:rPr>
                <w:rFonts w:ascii="Arial" w:hAnsi="Arial" w:cs="Arial"/>
                <w:b/>
                <w:sz w:val="20"/>
                <w:szCs w:val="20"/>
              </w:rPr>
              <w:t>Pakalpojuma turētājs</w:t>
            </w:r>
          </w:p>
        </w:tc>
        <w:tc>
          <w:tcPr>
            <w:tcW w:w="5542" w:type="dxa"/>
          </w:tcPr>
          <w:p w:rsidR="00F00A97" w:rsidRPr="007A65D8" w:rsidRDefault="00F00A97" w:rsidP="00A55A01">
            <w:pPr>
              <w:rPr>
                <w:rFonts w:ascii="Arial" w:hAnsi="Arial" w:cs="Arial"/>
                <w:b/>
                <w:sz w:val="22"/>
                <w:szCs w:val="22"/>
              </w:rPr>
            </w:pPr>
            <w:r w:rsidRPr="007A65D8">
              <w:rPr>
                <w:rFonts w:ascii="Arial" w:hAnsi="Arial" w:cs="Arial"/>
                <w:b/>
                <w:sz w:val="22"/>
                <w:szCs w:val="22"/>
              </w:rPr>
              <w:t>Salacgrīvas novada dome</w:t>
            </w:r>
          </w:p>
          <w:p w:rsidR="00F00A97" w:rsidRPr="007A65D8" w:rsidRDefault="00F00A97" w:rsidP="00A55A01">
            <w:pPr>
              <w:rPr>
                <w:rFonts w:ascii="Arial" w:hAnsi="Arial" w:cs="Arial"/>
                <w:sz w:val="22"/>
                <w:szCs w:val="22"/>
              </w:rPr>
            </w:pPr>
            <w:r w:rsidRPr="007A65D8">
              <w:rPr>
                <w:rFonts w:ascii="Arial" w:hAnsi="Arial" w:cs="Arial"/>
                <w:sz w:val="22"/>
                <w:szCs w:val="22"/>
              </w:rPr>
              <w:t>109.kab. Klientu apkalpošanas centrs, Smilšu ielā Nr.9, Salacgrīva, Salacgrīvas novads,  LV- 4033</w:t>
            </w:r>
          </w:p>
          <w:p w:rsidR="00F00A97" w:rsidRPr="007A65D8" w:rsidRDefault="00F00A97" w:rsidP="00A55A01">
            <w:pPr>
              <w:rPr>
                <w:rFonts w:ascii="Arial" w:hAnsi="Arial" w:cs="Arial"/>
                <w:sz w:val="22"/>
                <w:szCs w:val="22"/>
              </w:rPr>
            </w:pPr>
            <w:r w:rsidRPr="007A65D8">
              <w:rPr>
                <w:rFonts w:ascii="Arial" w:hAnsi="Arial" w:cs="Arial"/>
                <w:sz w:val="22"/>
                <w:szCs w:val="22"/>
              </w:rPr>
              <w:t xml:space="preserve">tālrunis:64071973;  64075000; fakss:64071993; </w:t>
            </w:r>
          </w:p>
          <w:p w:rsidR="00F00A97" w:rsidRPr="007A65D8" w:rsidRDefault="00F00A97" w:rsidP="00A55A01">
            <w:pPr>
              <w:tabs>
                <w:tab w:val="left" w:pos="2667"/>
              </w:tabs>
              <w:rPr>
                <w:rFonts w:ascii="Arial" w:hAnsi="Arial" w:cs="Arial"/>
                <w:sz w:val="22"/>
                <w:szCs w:val="22"/>
              </w:rPr>
            </w:pPr>
            <w:r w:rsidRPr="007A65D8">
              <w:rPr>
                <w:rFonts w:ascii="Arial" w:hAnsi="Arial" w:cs="Arial"/>
                <w:sz w:val="22"/>
                <w:szCs w:val="22"/>
              </w:rPr>
              <w:t xml:space="preserve">e-pasts: dome@salacgriva.lv    </w:t>
            </w:r>
          </w:p>
          <w:p w:rsidR="00F00A97" w:rsidRPr="007A65D8" w:rsidRDefault="00F00A97" w:rsidP="00A55A01">
            <w:pPr>
              <w:tabs>
                <w:tab w:val="left" w:pos="2667"/>
              </w:tabs>
              <w:rPr>
                <w:rFonts w:ascii="Arial" w:hAnsi="Arial" w:cs="Arial"/>
                <w:sz w:val="22"/>
                <w:szCs w:val="22"/>
              </w:rPr>
            </w:pPr>
            <w:r w:rsidRPr="007A65D8">
              <w:rPr>
                <w:rFonts w:ascii="Arial" w:hAnsi="Arial" w:cs="Arial"/>
                <w:sz w:val="22"/>
                <w:szCs w:val="22"/>
              </w:rPr>
              <w:t>Ainažu pilsētas pārvalde</w:t>
            </w:r>
          </w:p>
          <w:p w:rsidR="00F00A97" w:rsidRPr="007A65D8" w:rsidRDefault="00F00A97" w:rsidP="00A55A01">
            <w:pPr>
              <w:numPr>
                <w:ilvl w:val="0"/>
                <w:numId w:val="1"/>
              </w:numPr>
              <w:rPr>
                <w:rFonts w:ascii="Arial" w:hAnsi="Arial" w:cs="Arial"/>
                <w:sz w:val="22"/>
                <w:szCs w:val="22"/>
              </w:rPr>
            </w:pPr>
            <w:r w:rsidRPr="007A65D8">
              <w:rPr>
                <w:rFonts w:ascii="Arial" w:hAnsi="Arial" w:cs="Arial"/>
                <w:sz w:val="22"/>
                <w:szCs w:val="22"/>
              </w:rPr>
              <w:t>Parka ielā Nr.16, Ainaži, Salacgrīvas novads, LV-4035</w:t>
            </w:r>
          </w:p>
          <w:p w:rsidR="00F00A97" w:rsidRPr="007A65D8" w:rsidRDefault="00F00A97" w:rsidP="00A55A01">
            <w:pPr>
              <w:tabs>
                <w:tab w:val="left" w:pos="-9108"/>
              </w:tabs>
              <w:rPr>
                <w:rFonts w:ascii="Arial" w:hAnsi="Arial" w:cs="Arial"/>
                <w:sz w:val="22"/>
                <w:szCs w:val="22"/>
              </w:rPr>
            </w:pPr>
            <w:r w:rsidRPr="007A65D8">
              <w:rPr>
                <w:rFonts w:ascii="Arial" w:hAnsi="Arial" w:cs="Arial"/>
                <w:sz w:val="22"/>
                <w:szCs w:val="22"/>
              </w:rPr>
              <w:t xml:space="preserve">Tālrunis: 640 71310; </w:t>
            </w:r>
            <w:smartTag w:uri="schemas-tilde-lv/tildestengine" w:element="veidnes">
              <w:smartTagPr>
                <w:attr w:name="text" w:val="fakss"/>
                <w:attr w:name="baseform" w:val="fakss"/>
                <w:attr w:name="id" w:val="-1"/>
              </w:smartTagPr>
              <w:r w:rsidRPr="007A65D8">
                <w:rPr>
                  <w:rFonts w:ascii="Arial" w:hAnsi="Arial" w:cs="Arial"/>
                  <w:sz w:val="22"/>
                  <w:szCs w:val="22"/>
                </w:rPr>
                <w:t>fakss</w:t>
              </w:r>
            </w:smartTag>
            <w:r w:rsidRPr="007A65D8">
              <w:rPr>
                <w:rFonts w:ascii="Arial" w:hAnsi="Arial" w:cs="Arial"/>
                <w:sz w:val="22"/>
                <w:szCs w:val="22"/>
              </w:rPr>
              <w:t>: 640 71309</w:t>
            </w:r>
          </w:p>
          <w:p w:rsidR="00F00A97" w:rsidRPr="007A65D8" w:rsidRDefault="00F00A97" w:rsidP="00A55A01">
            <w:pPr>
              <w:tabs>
                <w:tab w:val="left" w:pos="-9108"/>
              </w:tabs>
              <w:rPr>
                <w:rFonts w:ascii="Arial" w:hAnsi="Arial" w:cs="Arial"/>
                <w:sz w:val="22"/>
                <w:szCs w:val="22"/>
              </w:rPr>
            </w:pPr>
            <w:r w:rsidRPr="007A65D8">
              <w:rPr>
                <w:rFonts w:ascii="Arial" w:hAnsi="Arial" w:cs="Arial"/>
                <w:sz w:val="22"/>
                <w:szCs w:val="22"/>
              </w:rPr>
              <w:t>e-pasts: ainazi@salacgriva.lv</w:t>
            </w:r>
          </w:p>
          <w:p w:rsidR="00F00A97" w:rsidRPr="007A65D8" w:rsidRDefault="00F00A97" w:rsidP="00A55A01">
            <w:pPr>
              <w:tabs>
                <w:tab w:val="left" w:pos="-9108"/>
              </w:tabs>
              <w:rPr>
                <w:rFonts w:ascii="Arial" w:hAnsi="Arial" w:cs="Arial"/>
                <w:sz w:val="22"/>
                <w:szCs w:val="22"/>
              </w:rPr>
            </w:pPr>
            <w:r w:rsidRPr="007A65D8">
              <w:rPr>
                <w:rFonts w:ascii="Arial" w:hAnsi="Arial" w:cs="Arial"/>
                <w:sz w:val="22"/>
                <w:szCs w:val="22"/>
              </w:rPr>
              <w:t>Liepupes pagasta pārvalde</w:t>
            </w:r>
          </w:p>
          <w:p w:rsidR="00F00A97" w:rsidRPr="007A65D8" w:rsidRDefault="00F00A97" w:rsidP="00A55A01">
            <w:pPr>
              <w:numPr>
                <w:ilvl w:val="0"/>
                <w:numId w:val="1"/>
              </w:numPr>
              <w:rPr>
                <w:rFonts w:ascii="Arial" w:hAnsi="Arial" w:cs="Arial"/>
                <w:sz w:val="22"/>
                <w:szCs w:val="22"/>
              </w:rPr>
            </w:pPr>
            <w:r w:rsidRPr="007A65D8">
              <w:rPr>
                <w:rFonts w:ascii="Arial" w:hAnsi="Arial" w:cs="Arial"/>
                <w:sz w:val="22"/>
                <w:szCs w:val="22"/>
              </w:rPr>
              <w:t>„</w:t>
            </w:r>
            <w:proofErr w:type="spellStart"/>
            <w:r w:rsidRPr="007A65D8">
              <w:rPr>
                <w:rFonts w:ascii="Arial" w:hAnsi="Arial" w:cs="Arial"/>
                <w:sz w:val="22"/>
                <w:szCs w:val="22"/>
              </w:rPr>
              <w:t>Mežgravās</w:t>
            </w:r>
            <w:proofErr w:type="spellEnd"/>
            <w:r w:rsidRPr="007A65D8">
              <w:rPr>
                <w:rFonts w:ascii="Arial" w:hAnsi="Arial" w:cs="Arial"/>
                <w:sz w:val="22"/>
                <w:szCs w:val="22"/>
              </w:rPr>
              <w:t>”, Liepupes pagasts, Salacgrīvas novads, LV-4023</w:t>
            </w:r>
          </w:p>
          <w:p w:rsidR="00F00A97" w:rsidRPr="007A65D8" w:rsidRDefault="00F00A97" w:rsidP="00A55A01">
            <w:pPr>
              <w:rPr>
                <w:rFonts w:ascii="Arial" w:hAnsi="Arial" w:cs="Arial"/>
                <w:sz w:val="22"/>
                <w:szCs w:val="22"/>
              </w:rPr>
            </w:pPr>
            <w:r w:rsidRPr="007A65D8">
              <w:rPr>
                <w:rFonts w:ascii="Arial" w:hAnsi="Arial" w:cs="Arial"/>
                <w:sz w:val="22"/>
                <w:szCs w:val="22"/>
              </w:rPr>
              <w:t xml:space="preserve">Tālrunis: 640 20142; </w:t>
            </w:r>
            <w:smartTag w:uri="schemas-tilde-lv/tildestengine" w:element="veidnes">
              <w:smartTagPr>
                <w:attr w:name="text" w:val="fakss"/>
                <w:attr w:name="baseform" w:val="fakss"/>
                <w:attr w:name="id" w:val="-1"/>
              </w:smartTagPr>
              <w:r w:rsidRPr="007A65D8">
                <w:rPr>
                  <w:rFonts w:ascii="Arial" w:hAnsi="Arial" w:cs="Arial"/>
                  <w:sz w:val="22"/>
                  <w:szCs w:val="22"/>
                </w:rPr>
                <w:t>fakss</w:t>
              </w:r>
            </w:smartTag>
            <w:r w:rsidRPr="007A65D8">
              <w:rPr>
                <w:rFonts w:ascii="Arial" w:hAnsi="Arial" w:cs="Arial"/>
                <w:sz w:val="22"/>
                <w:szCs w:val="22"/>
              </w:rPr>
              <w:t>: 640 23928</w:t>
            </w:r>
          </w:p>
          <w:p w:rsidR="00F00A97" w:rsidRPr="007A65D8" w:rsidRDefault="00F00A97" w:rsidP="00A55A01">
            <w:pPr>
              <w:tabs>
                <w:tab w:val="left" w:pos="2667"/>
              </w:tabs>
              <w:rPr>
                <w:rFonts w:ascii="Arial" w:hAnsi="Arial" w:cs="Arial"/>
                <w:sz w:val="22"/>
                <w:szCs w:val="22"/>
              </w:rPr>
            </w:pPr>
            <w:r w:rsidRPr="007A65D8">
              <w:rPr>
                <w:rFonts w:ascii="Arial" w:hAnsi="Arial" w:cs="Arial"/>
                <w:sz w:val="22"/>
                <w:szCs w:val="22"/>
              </w:rPr>
              <w:t xml:space="preserve"> e-pasts: liepupe@salacgriva.lv</w:t>
            </w:r>
          </w:p>
          <w:p w:rsidR="00F00A97" w:rsidRPr="007A65D8" w:rsidRDefault="00F00A97" w:rsidP="00A55A01">
            <w:pPr>
              <w:tabs>
                <w:tab w:val="left" w:pos="-9108"/>
              </w:tabs>
              <w:rPr>
                <w:rFonts w:ascii="Arial" w:hAnsi="Arial" w:cs="Arial"/>
                <w:sz w:val="22"/>
                <w:szCs w:val="22"/>
              </w:rPr>
            </w:pPr>
            <w:r w:rsidRPr="007A65D8">
              <w:rPr>
                <w:rFonts w:ascii="Arial" w:hAnsi="Arial" w:cs="Arial"/>
                <w:sz w:val="22"/>
                <w:szCs w:val="22"/>
              </w:rPr>
              <w:t>Pieņemšanas laiks:</w:t>
            </w:r>
          </w:p>
          <w:p w:rsidR="00F00A97" w:rsidRPr="007A65D8" w:rsidRDefault="00F00A97" w:rsidP="00A55A01">
            <w:pPr>
              <w:tabs>
                <w:tab w:val="left" w:pos="-9108"/>
              </w:tabs>
              <w:rPr>
                <w:rFonts w:ascii="Arial" w:hAnsi="Arial" w:cs="Arial"/>
                <w:sz w:val="22"/>
                <w:szCs w:val="22"/>
              </w:rPr>
            </w:pPr>
            <w:r w:rsidRPr="007A65D8">
              <w:rPr>
                <w:rFonts w:ascii="Arial" w:hAnsi="Arial" w:cs="Arial"/>
                <w:sz w:val="22"/>
                <w:szCs w:val="22"/>
              </w:rPr>
              <w:t>Pirmdienās:    8:00-13: 14:00-18:00</w:t>
            </w:r>
          </w:p>
          <w:p w:rsidR="00F00A97" w:rsidRPr="007A65D8" w:rsidRDefault="00F00A97" w:rsidP="00A55A01">
            <w:pPr>
              <w:tabs>
                <w:tab w:val="left" w:pos="-9108"/>
              </w:tabs>
              <w:rPr>
                <w:rFonts w:ascii="Arial" w:hAnsi="Arial" w:cs="Arial"/>
                <w:sz w:val="22"/>
                <w:szCs w:val="22"/>
              </w:rPr>
            </w:pPr>
            <w:r w:rsidRPr="007A65D8">
              <w:rPr>
                <w:rFonts w:ascii="Arial" w:hAnsi="Arial" w:cs="Arial"/>
                <w:sz w:val="22"/>
                <w:szCs w:val="22"/>
              </w:rPr>
              <w:t>Otrdienās:      8:00-13: 14:00-17:00</w:t>
            </w:r>
          </w:p>
          <w:p w:rsidR="00F00A97" w:rsidRPr="007A65D8" w:rsidRDefault="00F00A97" w:rsidP="00A55A01">
            <w:pPr>
              <w:tabs>
                <w:tab w:val="left" w:pos="-9108"/>
              </w:tabs>
              <w:rPr>
                <w:rFonts w:ascii="Arial" w:hAnsi="Arial" w:cs="Arial"/>
                <w:sz w:val="22"/>
                <w:szCs w:val="22"/>
              </w:rPr>
            </w:pPr>
            <w:r w:rsidRPr="007A65D8">
              <w:rPr>
                <w:rFonts w:ascii="Arial" w:hAnsi="Arial" w:cs="Arial"/>
                <w:sz w:val="22"/>
                <w:szCs w:val="22"/>
              </w:rPr>
              <w:t>Trešdienās:    8:00-13: 14:00-17:00</w:t>
            </w:r>
          </w:p>
          <w:p w:rsidR="00F00A97" w:rsidRPr="007A65D8" w:rsidRDefault="00F00A97" w:rsidP="00A55A01">
            <w:pPr>
              <w:tabs>
                <w:tab w:val="left" w:pos="-9108"/>
              </w:tabs>
              <w:rPr>
                <w:rFonts w:ascii="Arial" w:hAnsi="Arial" w:cs="Arial"/>
                <w:sz w:val="22"/>
                <w:szCs w:val="22"/>
              </w:rPr>
            </w:pPr>
            <w:r w:rsidRPr="007A65D8">
              <w:rPr>
                <w:rFonts w:ascii="Arial" w:hAnsi="Arial" w:cs="Arial"/>
                <w:sz w:val="22"/>
                <w:szCs w:val="22"/>
              </w:rPr>
              <w:t>Ceturtdienās: 8:00-13: 14:00-17:00</w:t>
            </w:r>
          </w:p>
          <w:p w:rsidR="00F00A97" w:rsidRPr="007A65D8" w:rsidRDefault="00F00A97" w:rsidP="00A55A01">
            <w:pPr>
              <w:tabs>
                <w:tab w:val="left" w:pos="-9108"/>
              </w:tabs>
              <w:rPr>
                <w:rFonts w:ascii="Arial" w:hAnsi="Arial" w:cs="Arial"/>
                <w:sz w:val="22"/>
                <w:szCs w:val="22"/>
              </w:rPr>
            </w:pPr>
            <w:r w:rsidRPr="007A65D8">
              <w:rPr>
                <w:rFonts w:ascii="Arial" w:hAnsi="Arial" w:cs="Arial"/>
                <w:sz w:val="22"/>
                <w:szCs w:val="22"/>
              </w:rPr>
              <w:t>Piektdienās:   8:00-13: 14:00-16:00</w:t>
            </w:r>
          </w:p>
          <w:p w:rsidR="00F00A97" w:rsidRPr="007A65D8" w:rsidRDefault="00F00A97" w:rsidP="00A55A01">
            <w:pPr>
              <w:rPr>
                <w:rFonts w:ascii="Arial" w:hAnsi="Arial" w:cs="Arial"/>
                <w:sz w:val="22"/>
                <w:szCs w:val="22"/>
              </w:rPr>
            </w:pPr>
          </w:p>
        </w:tc>
      </w:tr>
      <w:tr w:rsidR="00F00A97" w:rsidTr="00F00A97">
        <w:tc>
          <w:tcPr>
            <w:tcW w:w="514" w:type="dxa"/>
          </w:tcPr>
          <w:p w:rsidR="00F00A97" w:rsidRPr="004F7EF8" w:rsidRDefault="00F00A97" w:rsidP="00A55A01">
            <w:pPr>
              <w:rPr>
                <w:b/>
                <w:sz w:val="19"/>
                <w:szCs w:val="19"/>
              </w:rPr>
            </w:pPr>
            <w:r>
              <w:rPr>
                <w:b/>
                <w:sz w:val="19"/>
                <w:szCs w:val="19"/>
              </w:rPr>
              <w:t xml:space="preserve">  3. </w:t>
            </w:r>
          </w:p>
        </w:tc>
        <w:tc>
          <w:tcPr>
            <w:tcW w:w="4086" w:type="dxa"/>
          </w:tcPr>
          <w:p w:rsidR="00F00A97" w:rsidRPr="004F7EF8" w:rsidRDefault="00F00A97" w:rsidP="00A55A01">
            <w:pPr>
              <w:rPr>
                <w:rFonts w:ascii="Arial" w:hAnsi="Arial" w:cs="Arial"/>
                <w:b/>
                <w:sz w:val="20"/>
                <w:szCs w:val="20"/>
              </w:rPr>
            </w:pPr>
            <w:r w:rsidRPr="004F7EF8">
              <w:rPr>
                <w:rFonts w:ascii="Arial" w:hAnsi="Arial" w:cs="Arial"/>
                <w:b/>
                <w:sz w:val="20"/>
                <w:szCs w:val="20"/>
              </w:rPr>
              <w:t>Pakalpojuma funkcija/uzdevums</w:t>
            </w:r>
          </w:p>
          <w:p w:rsidR="00F00A97" w:rsidRPr="004F7EF8" w:rsidRDefault="00F00A97" w:rsidP="00A55A01">
            <w:pPr>
              <w:rPr>
                <w:rFonts w:ascii="Arial" w:hAnsi="Arial" w:cs="Arial"/>
                <w:b/>
                <w:sz w:val="20"/>
                <w:szCs w:val="20"/>
              </w:rPr>
            </w:pPr>
          </w:p>
        </w:tc>
        <w:tc>
          <w:tcPr>
            <w:tcW w:w="5542" w:type="dxa"/>
          </w:tcPr>
          <w:p w:rsidR="00F00A97" w:rsidRPr="007A65D8" w:rsidRDefault="00F00A97" w:rsidP="00A55A01">
            <w:pPr>
              <w:jc w:val="both"/>
              <w:rPr>
                <w:rFonts w:ascii="Arial" w:hAnsi="Arial" w:cs="Arial"/>
                <w:color w:val="000000"/>
                <w:sz w:val="22"/>
                <w:szCs w:val="22"/>
              </w:rPr>
            </w:pPr>
            <w:r w:rsidRPr="007A65D8">
              <w:rPr>
                <w:rFonts w:ascii="Arial" w:hAnsi="Arial" w:cs="Arial"/>
                <w:color w:val="000000"/>
                <w:sz w:val="22"/>
                <w:szCs w:val="22"/>
              </w:rPr>
              <w:t>Uguņošanas ierīču un skatuves pirotehnisko izstrādājumu demonstrēšanas saskaņošana</w:t>
            </w:r>
          </w:p>
        </w:tc>
      </w:tr>
      <w:tr w:rsidR="00F00A97" w:rsidTr="00F00A97">
        <w:tc>
          <w:tcPr>
            <w:tcW w:w="514" w:type="dxa"/>
          </w:tcPr>
          <w:p w:rsidR="00F00A97" w:rsidRPr="004F7EF8" w:rsidRDefault="00F00A97" w:rsidP="00F00A97">
            <w:pPr>
              <w:rPr>
                <w:b/>
                <w:sz w:val="19"/>
                <w:szCs w:val="19"/>
              </w:rPr>
            </w:pPr>
            <w:r w:rsidRPr="004F7EF8">
              <w:rPr>
                <w:b/>
                <w:sz w:val="19"/>
                <w:szCs w:val="19"/>
              </w:rPr>
              <w:t>4.</w:t>
            </w:r>
          </w:p>
        </w:tc>
        <w:tc>
          <w:tcPr>
            <w:tcW w:w="4086" w:type="dxa"/>
          </w:tcPr>
          <w:p w:rsidR="00F00A97" w:rsidRPr="004F7EF8" w:rsidRDefault="00F00A97" w:rsidP="00F00A97">
            <w:pPr>
              <w:rPr>
                <w:rFonts w:ascii="Arial" w:hAnsi="Arial" w:cs="Arial"/>
                <w:b/>
                <w:sz w:val="20"/>
                <w:szCs w:val="20"/>
              </w:rPr>
            </w:pPr>
            <w:r w:rsidRPr="004F7EF8">
              <w:rPr>
                <w:rFonts w:ascii="Arial" w:hAnsi="Arial" w:cs="Arial"/>
                <w:b/>
                <w:sz w:val="20"/>
                <w:szCs w:val="20"/>
              </w:rPr>
              <w:t>Pakalpojuma būtības īss apraksts</w:t>
            </w:r>
          </w:p>
          <w:p w:rsidR="00F00A97" w:rsidRPr="004F7EF8" w:rsidRDefault="00F00A97" w:rsidP="00F00A97">
            <w:pPr>
              <w:rPr>
                <w:rFonts w:ascii="Arial" w:hAnsi="Arial" w:cs="Arial"/>
                <w:b/>
                <w:sz w:val="20"/>
                <w:szCs w:val="20"/>
              </w:rPr>
            </w:pPr>
          </w:p>
        </w:tc>
        <w:tc>
          <w:tcPr>
            <w:tcW w:w="5542" w:type="dxa"/>
          </w:tcPr>
          <w:p w:rsidR="00F00A97" w:rsidRPr="007A65D8" w:rsidRDefault="00F00A97" w:rsidP="00F00A97">
            <w:pPr>
              <w:jc w:val="both"/>
              <w:rPr>
                <w:rFonts w:ascii="Arial" w:hAnsi="Arial" w:cs="Arial"/>
                <w:color w:val="000000"/>
                <w:sz w:val="22"/>
                <w:szCs w:val="22"/>
              </w:rPr>
            </w:pPr>
            <w:r w:rsidRPr="007A65D8">
              <w:rPr>
                <w:rFonts w:ascii="Arial" w:hAnsi="Arial" w:cs="Arial"/>
                <w:color w:val="000000"/>
                <w:sz w:val="22"/>
                <w:szCs w:val="22"/>
              </w:rPr>
              <w:t>Uguņošanas ierīču un skatuves pirotehnisko izstrādājumu demonstrēšanas saskaņošana</w:t>
            </w:r>
          </w:p>
        </w:tc>
      </w:tr>
      <w:tr w:rsidR="00F00A97" w:rsidTr="00F00A97">
        <w:tc>
          <w:tcPr>
            <w:tcW w:w="514" w:type="dxa"/>
          </w:tcPr>
          <w:p w:rsidR="00F00A97" w:rsidRPr="004F7EF8" w:rsidRDefault="00F00A97" w:rsidP="00F00A97">
            <w:pPr>
              <w:rPr>
                <w:b/>
                <w:sz w:val="19"/>
                <w:szCs w:val="19"/>
              </w:rPr>
            </w:pPr>
            <w:r w:rsidRPr="004F7EF8">
              <w:rPr>
                <w:b/>
                <w:sz w:val="19"/>
                <w:szCs w:val="19"/>
              </w:rPr>
              <w:t>5.</w:t>
            </w:r>
          </w:p>
        </w:tc>
        <w:tc>
          <w:tcPr>
            <w:tcW w:w="4086" w:type="dxa"/>
          </w:tcPr>
          <w:p w:rsidR="00F00A97" w:rsidRPr="004F7EF8" w:rsidRDefault="00F00A97" w:rsidP="00F00A97">
            <w:pPr>
              <w:rPr>
                <w:rFonts w:ascii="Arial" w:hAnsi="Arial" w:cs="Arial"/>
                <w:b/>
                <w:sz w:val="20"/>
                <w:szCs w:val="20"/>
              </w:rPr>
            </w:pPr>
            <w:r w:rsidRPr="004F7EF8">
              <w:rPr>
                <w:rFonts w:ascii="Arial" w:hAnsi="Arial" w:cs="Arial"/>
                <w:b/>
                <w:sz w:val="20"/>
                <w:szCs w:val="20"/>
              </w:rPr>
              <w:t>Pakalpojuma saņēmējs</w:t>
            </w:r>
          </w:p>
          <w:p w:rsidR="00F00A97" w:rsidRPr="004F7EF8" w:rsidRDefault="00F00A97" w:rsidP="00F00A97">
            <w:pPr>
              <w:rPr>
                <w:rFonts w:ascii="Arial" w:hAnsi="Arial" w:cs="Arial"/>
                <w:b/>
                <w:sz w:val="20"/>
                <w:szCs w:val="20"/>
              </w:rPr>
            </w:pPr>
          </w:p>
        </w:tc>
        <w:tc>
          <w:tcPr>
            <w:tcW w:w="5542" w:type="dxa"/>
          </w:tcPr>
          <w:p w:rsidR="00F00A97" w:rsidRPr="007A65D8" w:rsidRDefault="00F00A97" w:rsidP="00F00A97">
            <w:pPr>
              <w:rPr>
                <w:rFonts w:ascii="Arial" w:hAnsi="Arial" w:cs="Arial"/>
                <w:sz w:val="22"/>
                <w:szCs w:val="22"/>
              </w:rPr>
            </w:pPr>
            <w:r w:rsidRPr="007A65D8">
              <w:rPr>
                <w:rFonts w:ascii="Arial" w:hAnsi="Arial" w:cs="Arial"/>
                <w:sz w:val="22"/>
                <w:szCs w:val="22"/>
              </w:rPr>
              <w:t xml:space="preserve">Privāto tiesību juridiska persona </w:t>
            </w:r>
          </w:p>
        </w:tc>
      </w:tr>
      <w:tr w:rsidR="00F00A97" w:rsidTr="00F00A97">
        <w:tc>
          <w:tcPr>
            <w:tcW w:w="514" w:type="dxa"/>
          </w:tcPr>
          <w:p w:rsidR="00F00A97" w:rsidRPr="004F7EF8" w:rsidRDefault="00F00A97" w:rsidP="00F00A97">
            <w:pPr>
              <w:rPr>
                <w:b/>
                <w:sz w:val="19"/>
                <w:szCs w:val="19"/>
              </w:rPr>
            </w:pPr>
            <w:r w:rsidRPr="004F7EF8">
              <w:rPr>
                <w:b/>
                <w:sz w:val="19"/>
                <w:szCs w:val="19"/>
              </w:rPr>
              <w:t>6.</w:t>
            </w:r>
          </w:p>
        </w:tc>
        <w:tc>
          <w:tcPr>
            <w:tcW w:w="4086" w:type="dxa"/>
          </w:tcPr>
          <w:p w:rsidR="00F00A97" w:rsidRPr="004F7EF8" w:rsidRDefault="00F00A97" w:rsidP="00F00A97">
            <w:pPr>
              <w:rPr>
                <w:rFonts w:ascii="Arial" w:hAnsi="Arial" w:cs="Arial"/>
                <w:b/>
                <w:sz w:val="20"/>
                <w:szCs w:val="20"/>
              </w:rPr>
            </w:pPr>
            <w:r w:rsidRPr="004F7EF8">
              <w:rPr>
                <w:rFonts w:ascii="Arial" w:hAnsi="Arial" w:cs="Arial"/>
                <w:b/>
                <w:sz w:val="20"/>
                <w:szCs w:val="20"/>
              </w:rPr>
              <w:t xml:space="preserve">Pakalpojuma saņēmēja apraksts </w:t>
            </w:r>
          </w:p>
        </w:tc>
        <w:tc>
          <w:tcPr>
            <w:tcW w:w="5542" w:type="dxa"/>
          </w:tcPr>
          <w:p w:rsidR="00F00A97" w:rsidRPr="007A65D8" w:rsidRDefault="00F00A97" w:rsidP="00F00A97">
            <w:pPr>
              <w:rPr>
                <w:rFonts w:ascii="Arial" w:hAnsi="Arial" w:cs="Arial"/>
                <w:color w:val="000000"/>
                <w:sz w:val="22"/>
                <w:szCs w:val="22"/>
              </w:rPr>
            </w:pPr>
            <w:r w:rsidRPr="007A65D8">
              <w:rPr>
                <w:rFonts w:ascii="Arial" w:hAnsi="Arial" w:cs="Arial"/>
                <w:color w:val="000000"/>
                <w:sz w:val="22"/>
                <w:szCs w:val="22"/>
              </w:rPr>
              <w:t>Komersants, kam jau ir izsniegta speciāla atļauja (licence) pirotehnisko pakalpojumu sniegšanai</w:t>
            </w:r>
          </w:p>
        </w:tc>
      </w:tr>
      <w:tr w:rsidR="00F00A97" w:rsidTr="00F00A97">
        <w:tc>
          <w:tcPr>
            <w:tcW w:w="514" w:type="dxa"/>
          </w:tcPr>
          <w:p w:rsidR="00F00A97" w:rsidRPr="004F7EF8" w:rsidRDefault="00F00A97" w:rsidP="00F00A97">
            <w:pPr>
              <w:rPr>
                <w:b/>
                <w:sz w:val="19"/>
                <w:szCs w:val="19"/>
              </w:rPr>
            </w:pPr>
            <w:r w:rsidRPr="004F7EF8">
              <w:rPr>
                <w:b/>
                <w:sz w:val="19"/>
                <w:szCs w:val="19"/>
              </w:rPr>
              <w:t>7.</w:t>
            </w:r>
          </w:p>
        </w:tc>
        <w:tc>
          <w:tcPr>
            <w:tcW w:w="4086" w:type="dxa"/>
          </w:tcPr>
          <w:p w:rsidR="00F00A97" w:rsidRPr="004F7EF8" w:rsidRDefault="00F00A97" w:rsidP="00F00A97">
            <w:pPr>
              <w:rPr>
                <w:rFonts w:ascii="Arial" w:hAnsi="Arial" w:cs="Arial"/>
                <w:b/>
                <w:sz w:val="20"/>
                <w:szCs w:val="20"/>
              </w:rPr>
            </w:pPr>
            <w:r w:rsidRPr="004F7EF8">
              <w:rPr>
                <w:rFonts w:ascii="Arial" w:hAnsi="Arial" w:cs="Arial"/>
                <w:b/>
                <w:sz w:val="20"/>
                <w:szCs w:val="20"/>
              </w:rPr>
              <w:t>Normatīvie akti, kas reglamentē pakalpojuma sniegšanu</w:t>
            </w:r>
          </w:p>
          <w:p w:rsidR="00F00A97" w:rsidRPr="004F7EF8" w:rsidRDefault="00F00A97" w:rsidP="00F00A97">
            <w:pPr>
              <w:rPr>
                <w:rFonts w:ascii="Arial" w:hAnsi="Arial" w:cs="Arial"/>
                <w:b/>
                <w:sz w:val="20"/>
                <w:szCs w:val="20"/>
              </w:rPr>
            </w:pPr>
          </w:p>
        </w:tc>
        <w:tc>
          <w:tcPr>
            <w:tcW w:w="5542" w:type="dxa"/>
          </w:tcPr>
          <w:p w:rsidR="00B22D86" w:rsidRPr="007A65D8" w:rsidRDefault="00B22D86" w:rsidP="00B22D86">
            <w:pPr>
              <w:rPr>
                <w:rFonts w:ascii="Tahoma" w:eastAsia="Times New Roman" w:hAnsi="Tahoma" w:cs="Tahoma"/>
                <w:sz w:val="22"/>
                <w:szCs w:val="22"/>
              </w:rPr>
            </w:pPr>
            <w:r w:rsidRPr="007A65D8">
              <w:rPr>
                <w:rFonts w:ascii="Tahoma" w:eastAsia="Times New Roman" w:hAnsi="Symbol" w:cs="Tahoma"/>
                <w:sz w:val="22"/>
                <w:szCs w:val="22"/>
              </w:rPr>
              <w:t></w:t>
            </w:r>
            <w:r w:rsidRPr="007A65D8">
              <w:rPr>
                <w:rFonts w:ascii="Tahoma" w:eastAsia="Times New Roman" w:hAnsi="Tahoma" w:cs="Tahoma"/>
                <w:sz w:val="22"/>
                <w:szCs w:val="22"/>
              </w:rPr>
              <w:t xml:space="preserve">  Pirotehnisko izstrādājumu aprites likums </w:t>
            </w:r>
            <w:hyperlink r:id="rId5" w:tgtFrame="_blank" w:history="1">
              <w:r w:rsidRPr="007A65D8">
                <w:rPr>
                  <w:rFonts w:ascii="Tahoma" w:eastAsia="Times New Roman" w:hAnsi="Tahoma" w:cs="Tahoma"/>
                  <w:color w:val="0000FF"/>
                  <w:sz w:val="22"/>
                  <w:szCs w:val="22"/>
                  <w:u w:val="single"/>
                </w:rPr>
                <w:t>http://www.likumi.lv/doc.php?id=219419</w:t>
              </w:r>
            </w:hyperlink>
            <w:r w:rsidRPr="007A65D8">
              <w:rPr>
                <w:rFonts w:ascii="Tahoma" w:eastAsia="Times New Roman" w:hAnsi="Tahoma" w:cs="Tahoma"/>
                <w:sz w:val="22"/>
                <w:szCs w:val="22"/>
              </w:rPr>
              <w:t xml:space="preserve"> </w:t>
            </w:r>
          </w:p>
          <w:p w:rsidR="00F00A97" w:rsidRPr="007A65D8" w:rsidRDefault="00B22D86" w:rsidP="00B22D86">
            <w:pPr>
              <w:jc w:val="both"/>
              <w:rPr>
                <w:rFonts w:ascii="Arial" w:hAnsi="Arial" w:cs="Arial"/>
                <w:bCs/>
                <w:color w:val="000000"/>
                <w:sz w:val="22"/>
                <w:szCs w:val="22"/>
              </w:rPr>
            </w:pPr>
            <w:r w:rsidRPr="007A65D8">
              <w:rPr>
                <w:rFonts w:ascii="Tahoma" w:eastAsia="Times New Roman" w:hAnsi="Symbol" w:cs="Tahoma"/>
                <w:sz w:val="22"/>
                <w:szCs w:val="22"/>
              </w:rPr>
              <w:t></w:t>
            </w:r>
            <w:r w:rsidRPr="007A65D8">
              <w:rPr>
                <w:rFonts w:ascii="Tahoma" w:eastAsia="Times New Roman" w:hAnsi="Tahoma" w:cs="Tahoma"/>
                <w:sz w:val="22"/>
                <w:szCs w:val="22"/>
              </w:rPr>
              <w:t xml:space="preserve">  MK 22.03.2011. noteikumi Nr.214 "Uguņošanas ierīču un skatuves pirotehnisko izstrādājumu glabāšanas, realizācijas, iegādāšanās, pārnēsāšanas, pārvadāšanas, ražošanas, demonstrēšanas (izmantošanas), kā arī komercizstāžu rīkošanas un pirotehnisko pakalpojumu sniegšanas noteikumi" </w:t>
            </w:r>
            <w:hyperlink r:id="rId6" w:tgtFrame="_blank" w:history="1">
              <w:r w:rsidRPr="007A65D8">
                <w:rPr>
                  <w:rFonts w:ascii="Tahoma" w:eastAsia="Times New Roman" w:hAnsi="Tahoma" w:cs="Tahoma"/>
                  <w:color w:val="0000FF"/>
                  <w:sz w:val="22"/>
                  <w:szCs w:val="22"/>
                  <w:u w:val="single"/>
                </w:rPr>
                <w:t>http://likumi.lv/doc.php?id=227707</w:t>
              </w:r>
            </w:hyperlink>
          </w:p>
        </w:tc>
      </w:tr>
      <w:tr w:rsidR="00F00A97" w:rsidRPr="007A65D8" w:rsidTr="00F00A97">
        <w:tc>
          <w:tcPr>
            <w:tcW w:w="514" w:type="dxa"/>
          </w:tcPr>
          <w:p w:rsidR="00F00A97" w:rsidRPr="007A65D8" w:rsidRDefault="00F00A97" w:rsidP="00F00A97">
            <w:pPr>
              <w:rPr>
                <w:rFonts w:ascii="Arial" w:hAnsi="Arial" w:cs="Arial"/>
                <w:b/>
                <w:sz w:val="19"/>
                <w:szCs w:val="19"/>
              </w:rPr>
            </w:pPr>
            <w:r w:rsidRPr="007A65D8">
              <w:rPr>
                <w:rFonts w:ascii="Arial" w:hAnsi="Arial" w:cs="Arial"/>
                <w:b/>
                <w:sz w:val="19"/>
                <w:szCs w:val="19"/>
              </w:rPr>
              <w:t>8.</w:t>
            </w:r>
          </w:p>
        </w:tc>
        <w:tc>
          <w:tcPr>
            <w:tcW w:w="4086" w:type="dxa"/>
          </w:tcPr>
          <w:p w:rsidR="00F00A97" w:rsidRPr="007A65D8" w:rsidRDefault="00F00A97" w:rsidP="00F00A97">
            <w:pPr>
              <w:rPr>
                <w:rFonts w:ascii="Arial" w:hAnsi="Arial" w:cs="Arial"/>
                <w:b/>
                <w:sz w:val="20"/>
                <w:szCs w:val="20"/>
              </w:rPr>
            </w:pPr>
            <w:r w:rsidRPr="007A65D8">
              <w:rPr>
                <w:rFonts w:ascii="Arial" w:hAnsi="Arial" w:cs="Arial"/>
                <w:b/>
                <w:sz w:val="20"/>
                <w:szCs w:val="20"/>
              </w:rPr>
              <w:t>Pakalpojuma saņemšanai nepieciešamie dokumenti</w:t>
            </w:r>
          </w:p>
          <w:p w:rsidR="00F00A97" w:rsidRPr="007A65D8" w:rsidRDefault="00F00A97" w:rsidP="00F00A97">
            <w:pPr>
              <w:rPr>
                <w:rFonts w:ascii="Arial" w:hAnsi="Arial" w:cs="Arial"/>
                <w:b/>
                <w:sz w:val="20"/>
                <w:szCs w:val="20"/>
              </w:rPr>
            </w:pPr>
          </w:p>
        </w:tc>
        <w:tc>
          <w:tcPr>
            <w:tcW w:w="5542" w:type="dxa"/>
          </w:tcPr>
          <w:p w:rsidR="00F00A97" w:rsidRPr="007A65D8" w:rsidRDefault="007A65D8" w:rsidP="007A65D8">
            <w:pPr>
              <w:jc w:val="both"/>
              <w:rPr>
                <w:rFonts w:ascii="Arial" w:hAnsi="Arial" w:cs="Arial"/>
                <w:sz w:val="22"/>
                <w:szCs w:val="22"/>
              </w:rPr>
            </w:pPr>
            <w:r w:rsidRPr="007A65D8">
              <w:rPr>
                <w:rFonts w:ascii="Arial" w:hAnsi="Arial" w:cs="Arial"/>
                <w:sz w:val="22"/>
                <w:szCs w:val="22"/>
              </w:rPr>
              <w:t xml:space="preserve">Iesniegums uguņošanas ierīču un skatuves pirotehnisko izstrādājumu demonstrēšanas saskaņošanai. Iesniegumam pievienojams: 1. Valsts darba inspekcijas izdotās reģistrācijas apliecības vai Valsts policijas izdotās licences kopija. 2. Uguņošanas ierīču un skatuves pirotehnisko izstrādājumu demonstrēšanas plāns: 2.1. pirotehnisko izstrādājumu demonstrēšanas sagatavošanas darbu priekšraksts un darbu apjoms; 2.2. uguņošanas ierīču un skatuves pirotehnisko izstrādājumu izvietojums; 2.3. zemesgabala plāns, kurā ir norādīta bīstamā zona, uguņošanas bīstamā zona, apsargu izvietojums, kā arī glābšanas un evakuācijas ceļi. 3. Uguņošanas ierīču un skatuves pirotehnisko izstrādājumu demonstrēšanas programma: 3.1. pirotehnisko izstrādājumu </w:t>
            </w:r>
            <w:r w:rsidRPr="007A65D8">
              <w:rPr>
                <w:rFonts w:ascii="Arial" w:hAnsi="Arial" w:cs="Arial"/>
                <w:sz w:val="22"/>
                <w:szCs w:val="22"/>
              </w:rPr>
              <w:lastRenderedPageBreak/>
              <w:t>demonstrēšanas sākuma un beigu laiks; 3.2. lietojamo uguņošanas ierīču un skatuves pirotehnisko izstrādājumu apraksts, plānotie efekti; 3.3. pirotehnisko izstrādājumu palaišanas kārtība un biežums; 3.4. bīstamās zonas lielums. Nepieciešamie rakstveida saskaņojumi: ar Valsts ugunsdzēsības un glābšanas dienesta</w:t>
            </w:r>
            <w:r w:rsidRPr="007A65D8">
              <w:rPr>
                <w:rFonts w:ascii="Arial" w:hAnsi="Arial" w:cs="Arial"/>
                <w:sz w:val="22"/>
                <w:szCs w:val="22"/>
              </w:rPr>
              <w:t xml:space="preserve"> Vidzemes reģiona brigādes Limbažu daļu</w:t>
            </w:r>
            <w:r w:rsidRPr="007A65D8">
              <w:rPr>
                <w:rFonts w:ascii="Arial" w:hAnsi="Arial" w:cs="Arial"/>
                <w:sz w:val="22"/>
                <w:szCs w:val="22"/>
              </w:rPr>
              <w:t>, Vides aizsardzības un reģionālās attīstības ministrijas reģionālo vides pārvaldi vai Jūras vides pārvaldi, ja pirotehnisko izstrādājumu demonstrēšana tiek rīkota tuvāk par 300 metriem no kultūrvēsturiskas nozīmes objektiem, vēstures un kultūras pieminekļiem, kapsētām, kulta ēkām, rezervātiem un nacionālajiem parkiem; pirotehnisko izstrādājumu demonstrēšanas norises vietas īpašnieku, ja viņš nav tās rīkotājs.</w:t>
            </w:r>
          </w:p>
        </w:tc>
      </w:tr>
      <w:tr w:rsidR="00F00A97" w:rsidRPr="007A65D8" w:rsidTr="00F00A97">
        <w:tc>
          <w:tcPr>
            <w:tcW w:w="514" w:type="dxa"/>
          </w:tcPr>
          <w:p w:rsidR="00F00A97" w:rsidRPr="007A65D8" w:rsidRDefault="00F00A97" w:rsidP="00F00A97">
            <w:pPr>
              <w:rPr>
                <w:rFonts w:ascii="Arial" w:hAnsi="Arial" w:cs="Arial"/>
                <w:b/>
                <w:sz w:val="19"/>
                <w:szCs w:val="19"/>
              </w:rPr>
            </w:pPr>
            <w:r w:rsidRPr="007A65D8">
              <w:rPr>
                <w:rFonts w:ascii="Arial" w:hAnsi="Arial" w:cs="Arial"/>
                <w:b/>
                <w:sz w:val="19"/>
                <w:szCs w:val="19"/>
              </w:rPr>
              <w:lastRenderedPageBreak/>
              <w:t>9.</w:t>
            </w:r>
          </w:p>
        </w:tc>
        <w:tc>
          <w:tcPr>
            <w:tcW w:w="4086" w:type="dxa"/>
          </w:tcPr>
          <w:p w:rsidR="00F00A97" w:rsidRPr="007A65D8" w:rsidRDefault="00F00A97" w:rsidP="00F00A97">
            <w:pPr>
              <w:rPr>
                <w:rFonts w:ascii="Arial" w:hAnsi="Arial" w:cs="Arial"/>
                <w:b/>
                <w:sz w:val="20"/>
                <w:szCs w:val="20"/>
              </w:rPr>
            </w:pPr>
            <w:r w:rsidRPr="007A65D8">
              <w:rPr>
                <w:rFonts w:ascii="Arial" w:hAnsi="Arial" w:cs="Arial"/>
                <w:b/>
                <w:sz w:val="20"/>
                <w:szCs w:val="20"/>
              </w:rPr>
              <w:t>Pakalpojuma pieprasīšanai nepieciešamās veidlapas</w:t>
            </w:r>
          </w:p>
          <w:p w:rsidR="00F00A97" w:rsidRPr="007A65D8" w:rsidRDefault="00F00A97" w:rsidP="00F00A97">
            <w:pPr>
              <w:rPr>
                <w:rFonts w:ascii="Arial" w:hAnsi="Arial" w:cs="Arial"/>
                <w:b/>
                <w:sz w:val="20"/>
                <w:szCs w:val="20"/>
              </w:rPr>
            </w:pPr>
          </w:p>
        </w:tc>
        <w:tc>
          <w:tcPr>
            <w:tcW w:w="5542" w:type="dxa"/>
          </w:tcPr>
          <w:p w:rsidR="00F00A97" w:rsidRPr="007A65D8" w:rsidRDefault="00DD6EC7" w:rsidP="00F00A97">
            <w:pPr>
              <w:rPr>
                <w:rFonts w:ascii="Arial" w:hAnsi="Arial" w:cs="Arial"/>
                <w:sz w:val="22"/>
                <w:szCs w:val="22"/>
              </w:rPr>
            </w:pPr>
            <w:r w:rsidRPr="007A65D8">
              <w:rPr>
                <w:rFonts w:ascii="Arial" w:hAnsi="Arial" w:cs="Arial"/>
                <w:sz w:val="22"/>
                <w:szCs w:val="22"/>
              </w:rPr>
              <w:t>Iesniegums uguņošanas ierīču un skatuves pirotehnisko izstrādājumu demonstrēšanas saskaņošanai</w:t>
            </w:r>
          </w:p>
        </w:tc>
      </w:tr>
      <w:tr w:rsidR="00F00A97" w:rsidRPr="007A65D8" w:rsidTr="00F00A97">
        <w:tc>
          <w:tcPr>
            <w:tcW w:w="514" w:type="dxa"/>
          </w:tcPr>
          <w:p w:rsidR="00F00A97" w:rsidRPr="007A65D8" w:rsidRDefault="00F00A97" w:rsidP="00F00A97">
            <w:pPr>
              <w:rPr>
                <w:rFonts w:ascii="Arial" w:hAnsi="Arial" w:cs="Arial"/>
                <w:b/>
                <w:sz w:val="19"/>
                <w:szCs w:val="19"/>
              </w:rPr>
            </w:pPr>
            <w:r w:rsidRPr="007A65D8">
              <w:rPr>
                <w:rFonts w:ascii="Arial" w:hAnsi="Arial" w:cs="Arial"/>
                <w:b/>
                <w:sz w:val="19"/>
                <w:szCs w:val="19"/>
              </w:rPr>
              <w:t>10.</w:t>
            </w:r>
          </w:p>
        </w:tc>
        <w:tc>
          <w:tcPr>
            <w:tcW w:w="4086" w:type="dxa"/>
          </w:tcPr>
          <w:p w:rsidR="00F00A97" w:rsidRPr="007A65D8" w:rsidRDefault="00F00A97" w:rsidP="00F00A97">
            <w:pPr>
              <w:rPr>
                <w:rFonts w:ascii="Arial" w:hAnsi="Arial" w:cs="Arial"/>
                <w:b/>
                <w:sz w:val="20"/>
                <w:szCs w:val="20"/>
              </w:rPr>
            </w:pPr>
            <w:r w:rsidRPr="007A65D8">
              <w:rPr>
                <w:rFonts w:ascii="Arial" w:hAnsi="Arial" w:cs="Arial"/>
                <w:b/>
                <w:sz w:val="20"/>
                <w:szCs w:val="20"/>
              </w:rPr>
              <w:t>Pakalpojuma saņemšanas termiņš (darba dienās)</w:t>
            </w:r>
          </w:p>
          <w:p w:rsidR="00F00A97" w:rsidRPr="007A65D8" w:rsidRDefault="00F00A97" w:rsidP="00F00A97">
            <w:pPr>
              <w:rPr>
                <w:rFonts w:ascii="Arial" w:hAnsi="Arial" w:cs="Arial"/>
                <w:b/>
                <w:sz w:val="20"/>
                <w:szCs w:val="20"/>
              </w:rPr>
            </w:pPr>
          </w:p>
        </w:tc>
        <w:tc>
          <w:tcPr>
            <w:tcW w:w="5542" w:type="dxa"/>
          </w:tcPr>
          <w:p w:rsidR="00F00A97" w:rsidRPr="007A65D8" w:rsidRDefault="00DD6EC7" w:rsidP="00F00A97">
            <w:pPr>
              <w:rPr>
                <w:rFonts w:ascii="Arial" w:hAnsi="Arial" w:cs="Arial"/>
                <w:sz w:val="22"/>
                <w:szCs w:val="22"/>
              </w:rPr>
            </w:pPr>
            <w:r w:rsidRPr="007A65D8">
              <w:rPr>
                <w:rFonts w:ascii="Arial" w:hAnsi="Arial" w:cs="Arial"/>
                <w:sz w:val="22"/>
                <w:szCs w:val="22"/>
              </w:rPr>
              <w:t>10</w:t>
            </w:r>
          </w:p>
        </w:tc>
      </w:tr>
      <w:tr w:rsidR="00F00A97" w:rsidRPr="007A65D8" w:rsidTr="00F00A97">
        <w:tc>
          <w:tcPr>
            <w:tcW w:w="514" w:type="dxa"/>
          </w:tcPr>
          <w:p w:rsidR="00F00A97" w:rsidRPr="007A65D8" w:rsidRDefault="00F00A97" w:rsidP="00F00A97">
            <w:pPr>
              <w:rPr>
                <w:rFonts w:ascii="Arial" w:hAnsi="Arial" w:cs="Arial"/>
                <w:b/>
                <w:sz w:val="19"/>
                <w:szCs w:val="19"/>
              </w:rPr>
            </w:pPr>
            <w:r w:rsidRPr="007A65D8">
              <w:rPr>
                <w:rFonts w:ascii="Arial" w:hAnsi="Arial" w:cs="Arial"/>
                <w:b/>
                <w:sz w:val="19"/>
                <w:szCs w:val="19"/>
              </w:rPr>
              <w:t>11.</w:t>
            </w:r>
          </w:p>
        </w:tc>
        <w:tc>
          <w:tcPr>
            <w:tcW w:w="4086" w:type="dxa"/>
          </w:tcPr>
          <w:p w:rsidR="00F00A97" w:rsidRPr="007A65D8" w:rsidRDefault="00F00A97" w:rsidP="00F00A97">
            <w:pPr>
              <w:rPr>
                <w:rFonts w:ascii="Arial" w:hAnsi="Arial" w:cs="Arial"/>
                <w:b/>
                <w:sz w:val="20"/>
                <w:szCs w:val="20"/>
              </w:rPr>
            </w:pPr>
            <w:r w:rsidRPr="007A65D8">
              <w:rPr>
                <w:rFonts w:ascii="Arial" w:hAnsi="Arial" w:cs="Arial"/>
                <w:b/>
                <w:sz w:val="20"/>
                <w:szCs w:val="20"/>
              </w:rPr>
              <w:t>Ar pakalpojuma saņemšanu saistītie maksājumi</w:t>
            </w:r>
          </w:p>
          <w:p w:rsidR="00F00A97" w:rsidRPr="007A65D8" w:rsidRDefault="00F00A97" w:rsidP="00F00A97">
            <w:pPr>
              <w:rPr>
                <w:rFonts w:ascii="Arial" w:hAnsi="Arial" w:cs="Arial"/>
                <w:b/>
                <w:sz w:val="20"/>
                <w:szCs w:val="20"/>
              </w:rPr>
            </w:pPr>
          </w:p>
        </w:tc>
        <w:tc>
          <w:tcPr>
            <w:tcW w:w="5542" w:type="dxa"/>
          </w:tcPr>
          <w:p w:rsidR="00F00A97" w:rsidRPr="007A65D8" w:rsidRDefault="00DD6EC7" w:rsidP="00F00A97">
            <w:pPr>
              <w:rPr>
                <w:rFonts w:ascii="Arial" w:hAnsi="Arial" w:cs="Arial"/>
                <w:sz w:val="22"/>
                <w:szCs w:val="22"/>
              </w:rPr>
            </w:pPr>
            <w:r w:rsidRPr="007A65D8">
              <w:rPr>
                <w:rFonts w:ascii="Arial" w:hAnsi="Arial" w:cs="Arial"/>
                <w:sz w:val="22"/>
                <w:szCs w:val="22"/>
              </w:rPr>
              <w:t>Saskaņojuma uguņošanas ierīču un skatuves pirotehnisko izstrādājumu demonstrēšanai izsniegšana ir bezmaksas pakalpojums. Paredzamie izdevumi varētu būt saistīti ar teritorijas sakopšanu.</w:t>
            </w:r>
          </w:p>
        </w:tc>
      </w:tr>
      <w:tr w:rsidR="00F00A97" w:rsidRPr="007A65D8" w:rsidTr="00F00A97">
        <w:tc>
          <w:tcPr>
            <w:tcW w:w="514" w:type="dxa"/>
          </w:tcPr>
          <w:p w:rsidR="00F00A97" w:rsidRPr="007A65D8" w:rsidRDefault="00F00A97" w:rsidP="00F00A97">
            <w:pPr>
              <w:rPr>
                <w:rFonts w:ascii="Arial" w:hAnsi="Arial" w:cs="Arial"/>
                <w:b/>
                <w:sz w:val="19"/>
                <w:szCs w:val="19"/>
              </w:rPr>
            </w:pPr>
            <w:r w:rsidRPr="007A65D8">
              <w:rPr>
                <w:rFonts w:ascii="Arial" w:hAnsi="Arial" w:cs="Arial"/>
                <w:b/>
                <w:sz w:val="19"/>
                <w:szCs w:val="19"/>
              </w:rPr>
              <w:t>12.</w:t>
            </w:r>
          </w:p>
        </w:tc>
        <w:tc>
          <w:tcPr>
            <w:tcW w:w="4086" w:type="dxa"/>
          </w:tcPr>
          <w:p w:rsidR="00F00A97" w:rsidRPr="007A65D8" w:rsidRDefault="00F00A97" w:rsidP="00F00A97">
            <w:pPr>
              <w:rPr>
                <w:rFonts w:ascii="Arial" w:hAnsi="Arial" w:cs="Arial"/>
                <w:b/>
                <w:sz w:val="20"/>
                <w:szCs w:val="20"/>
              </w:rPr>
            </w:pPr>
            <w:r w:rsidRPr="007A65D8">
              <w:rPr>
                <w:rFonts w:ascii="Arial" w:hAnsi="Arial" w:cs="Arial"/>
                <w:b/>
                <w:sz w:val="20"/>
                <w:szCs w:val="20"/>
              </w:rPr>
              <w:t>Piezīmes (par pakalpojuma saņemšanas termiņu un maksājumiem, kuri saistīti ar termiņu)</w:t>
            </w:r>
          </w:p>
          <w:p w:rsidR="00F00A97" w:rsidRPr="007A65D8" w:rsidRDefault="00F00A97" w:rsidP="00F00A97">
            <w:pPr>
              <w:rPr>
                <w:rFonts w:ascii="Arial" w:hAnsi="Arial" w:cs="Arial"/>
                <w:b/>
                <w:sz w:val="20"/>
                <w:szCs w:val="20"/>
              </w:rPr>
            </w:pPr>
          </w:p>
        </w:tc>
        <w:tc>
          <w:tcPr>
            <w:tcW w:w="5542" w:type="dxa"/>
          </w:tcPr>
          <w:p w:rsidR="00F00A97" w:rsidRPr="007A65D8" w:rsidRDefault="00DD6EC7" w:rsidP="00F00A97">
            <w:pPr>
              <w:jc w:val="both"/>
              <w:rPr>
                <w:rFonts w:ascii="Arial" w:hAnsi="Arial" w:cs="Arial"/>
                <w:sz w:val="22"/>
                <w:szCs w:val="22"/>
              </w:rPr>
            </w:pPr>
            <w:r w:rsidRPr="007A65D8">
              <w:rPr>
                <w:rFonts w:ascii="Arial" w:hAnsi="Arial" w:cs="Arial"/>
                <w:sz w:val="22"/>
                <w:szCs w:val="22"/>
              </w:rPr>
              <w:t>Nav</w:t>
            </w:r>
          </w:p>
        </w:tc>
      </w:tr>
      <w:tr w:rsidR="00F00A97" w:rsidRPr="007A65D8" w:rsidTr="00F00A97">
        <w:tc>
          <w:tcPr>
            <w:tcW w:w="514" w:type="dxa"/>
          </w:tcPr>
          <w:p w:rsidR="00F00A97" w:rsidRPr="007A65D8" w:rsidRDefault="00F00A97" w:rsidP="00F00A97">
            <w:pPr>
              <w:rPr>
                <w:rFonts w:ascii="Arial" w:hAnsi="Arial" w:cs="Arial"/>
                <w:b/>
                <w:sz w:val="19"/>
                <w:szCs w:val="19"/>
              </w:rPr>
            </w:pPr>
            <w:r w:rsidRPr="007A65D8">
              <w:rPr>
                <w:rFonts w:ascii="Arial" w:hAnsi="Arial" w:cs="Arial"/>
                <w:b/>
                <w:sz w:val="19"/>
                <w:szCs w:val="19"/>
              </w:rPr>
              <w:t>13.</w:t>
            </w:r>
          </w:p>
        </w:tc>
        <w:tc>
          <w:tcPr>
            <w:tcW w:w="4086" w:type="dxa"/>
          </w:tcPr>
          <w:p w:rsidR="00F00A97" w:rsidRPr="007A65D8" w:rsidRDefault="00F00A97" w:rsidP="00F00A97">
            <w:pPr>
              <w:rPr>
                <w:rFonts w:ascii="Arial" w:hAnsi="Arial" w:cs="Arial"/>
                <w:b/>
                <w:sz w:val="20"/>
                <w:szCs w:val="20"/>
              </w:rPr>
            </w:pPr>
            <w:r w:rsidRPr="007A65D8">
              <w:rPr>
                <w:rFonts w:ascii="Arial" w:hAnsi="Arial" w:cs="Arial"/>
                <w:b/>
                <w:sz w:val="20"/>
                <w:szCs w:val="20"/>
              </w:rPr>
              <w:t>Administratīvais process</w:t>
            </w:r>
          </w:p>
          <w:p w:rsidR="00F00A97" w:rsidRPr="007A65D8" w:rsidRDefault="00F00A97" w:rsidP="00F00A97">
            <w:pPr>
              <w:rPr>
                <w:rFonts w:ascii="Arial" w:hAnsi="Arial" w:cs="Arial"/>
                <w:b/>
                <w:sz w:val="20"/>
                <w:szCs w:val="20"/>
              </w:rPr>
            </w:pPr>
          </w:p>
        </w:tc>
        <w:tc>
          <w:tcPr>
            <w:tcW w:w="5542" w:type="dxa"/>
          </w:tcPr>
          <w:p w:rsidR="00F00A97" w:rsidRPr="007A65D8" w:rsidRDefault="00F00A97" w:rsidP="00F00A97">
            <w:pPr>
              <w:rPr>
                <w:rFonts w:ascii="Arial" w:hAnsi="Arial" w:cs="Arial"/>
                <w:sz w:val="22"/>
                <w:szCs w:val="22"/>
              </w:rPr>
            </w:pPr>
            <w:r w:rsidRPr="007A65D8">
              <w:rPr>
                <w:rFonts w:ascii="Arial" w:hAnsi="Arial" w:cs="Arial"/>
                <w:sz w:val="22"/>
                <w:szCs w:val="22"/>
              </w:rPr>
              <w:t xml:space="preserve">Ir </w:t>
            </w:r>
          </w:p>
        </w:tc>
      </w:tr>
      <w:tr w:rsidR="00F00A97" w:rsidRPr="007A65D8" w:rsidTr="00F00A97">
        <w:tc>
          <w:tcPr>
            <w:tcW w:w="514" w:type="dxa"/>
          </w:tcPr>
          <w:p w:rsidR="00F00A97" w:rsidRPr="007A65D8" w:rsidRDefault="00F00A97" w:rsidP="00F00A97">
            <w:pPr>
              <w:rPr>
                <w:rFonts w:ascii="Arial" w:hAnsi="Arial" w:cs="Arial"/>
                <w:b/>
                <w:sz w:val="19"/>
                <w:szCs w:val="19"/>
              </w:rPr>
            </w:pPr>
            <w:r w:rsidRPr="007A65D8">
              <w:rPr>
                <w:rFonts w:ascii="Arial" w:hAnsi="Arial" w:cs="Arial"/>
                <w:b/>
                <w:sz w:val="19"/>
                <w:szCs w:val="19"/>
              </w:rPr>
              <w:t>14.</w:t>
            </w:r>
          </w:p>
        </w:tc>
        <w:tc>
          <w:tcPr>
            <w:tcW w:w="4086" w:type="dxa"/>
          </w:tcPr>
          <w:p w:rsidR="00F00A97" w:rsidRPr="007A65D8" w:rsidRDefault="00F00A97" w:rsidP="00F00A97">
            <w:pPr>
              <w:rPr>
                <w:rFonts w:ascii="Arial" w:hAnsi="Arial" w:cs="Arial"/>
                <w:b/>
                <w:sz w:val="20"/>
                <w:szCs w:val="20"/>
              </w:rPr>
            </w:pPr>
            <w:r w:rsidRPr="007A65D8">
              <w:rPr>
                <w:rFonts w:ascii="Arial" w:hAnsi="Arial" w:cs="Arial"/>
                <w:b/>
                <w:sz w:val="20"/>
                <w:szCs w:val="20"/>
              </w:rPr>
              <w:t>Pārsūdzības iespējas</w:t>
            </w:r>
          </w:p>
          <w:p w:rsidR="00F00A97" w:rsidRPr="007A65D8" w:rsidRDefault="00F00A97" w:rsidP="00F00A97">
            <w:pPr>
              <w:rPr>
                <w:rFonts w:ascii="Arial" w:hAnsi="Arial" w:cs="Arial"/>
                <w:b/>
                <w:sz w:val="20"/>
                <w:szCs w:val="20"/>
              </w:rPr>
            </w:pPr>
          </w:p>
        </w:tc>
        <w:tc>
          <w:tcPr>
            <w:tcW w:w="5542" w:type="dxa"/>
          </w:tcPr>
          <w:p w:rsidR="00F00A97" w:rsidRPr="007A65D8" w:rsidRDefault="007A65D8" w:rsidP="007A65D8">
            <w:pPr>
              <w:jc w:val="both"/>
              <w:rPr>
                <w:rFonts w:ascii="Arial" w:hAnsi="Arial" w:cs="Arial"/>
                <w:sz w:val="22"/>
                <w:szCs w:val="22"/>
              </w:rPr>
            </w:pPr>
            <w:r w:rsidRPr="007A65D8">
              <w:rPr>
                <w:rFonts w:ascii="Arial" w:hAnsi="Arial" w:cs="Arial"/>
                <w:sz w:val="22"/>
                <w:szCs w:val="22"/>
              </w:rPr>
              <w:t>K</w:t>
            </w:r>
            <w:r w:rsidR="00F00A97" w:rsidRPr="007A65D8">
              <w:rPr>
                <w:rFonts w:ascii="Arial" w:hAnsi="Arial" w:cs="Arial"/>
                <w:sz w:val="22"/>
                <w:szCs w:val="22"/>
              </w:rPr>
              <w:t>omersants izpilddirektora lēmumu var pārsūdzēt Salacgrīvas novada domē Administratīvā procesa likumā noteiktajā kārtībā</w:t>
            </w:r>
          </w:p>
        </w:tc>
      </w:tr>
      <w:tr w:rsidR="00F00A97" w:rsidRPr="007A65D8" w:rsidTr="00F00A97">
        <w:tc>
          <w:tcPr>
            <w:tcW w:w="514" w:type="dxa"/>
          </w:tcPr>
          <w:p w:rsidR="00F00A97" w:rsidRPr="007A65D8" w:rsidRDefault="00F00A97" w:rsidP="00F00A97">
            <w:pPr>
              <w:rPr>
                <w:rFonts w:ascii="Arial" w:hAnsi="Arial" w:cs="Arial"/>
                <w:b/>
                <w:sz w:val="19"/>
                <w:szCs w:val="19"/>
              </w:rPr>
            </w:pPr>
            <w:r w:rsidRPr="007A65D8">
              <w:rPr>
                <w:rFonts w:ascii="Arial" w:hAnsi="Arial" w:cs="Arial"/>
                <w:b/>
                <w:sz w:val="19"/>
                <w:szCs w:val="19"/>
              </w:rPr>
              <w:t>15.</w:t>
            </w:r>
          </w:p>
        </w:tc>
        <w:tc>
          <w:tcPr>
            <w:tcW w:w="4086" w:type="dxa"/>
          </w:tcPr>
          <w:p w:rsidR="00F00A97" w:rsidRPr="007A65D8" w:rsidRDefault="00F00A97" w:rsidP="00F00A97">
            <w:pPr>
              <w:rPr>
                <w:rFonts w:ascii="Arial" w:hAnsi="Arial" w:cs="Arial"/>
                <w:b/>
                <w:sz w:val="20"/>
                <w:szCs w:val="20"/>
              </w:rPr>
            </w:pPr>
            <w:smartTag w:uri="schemas-tilde-lv/tildestengine" w:element="veidnes">
              <w:smartTagPr>
                <w:attr w:name="text" w:val="atgādinājums"/>
                <w:attr w:name="baseform" w:val="atgādinājums"/>
                <w:attr w:name="id" w:val="-1"/>
              </w:smartTagPr>
              <w:r w:rsidRPr="007A65D8">
                <w:rPr>
                  <w:rFonts w:ascii="Arial" w:hAnsi="Arial" w:cs="Arial"/>
                  <w:b/>
                  <w:sz w:val="20"/>
                  <w:szCs w:val="20"/>
                </w:rPr>
                <w:t>Atgādinājums</w:t>
              </w:r>
            </w:smartTag>
          </w:p>
          <w:p w:rsidR="00F00A97" w:rsidRPr="007A65D8" w:rsidRDefault="00F00A97" w:rsidP="00F00A97">
            <w:pPr>
              <w:rPr>
                <w:rFonts w:ascii="Arial" w:hAnsi="Arial" w:cs="Arial"/>
                <w:b/>
                <w:sz w:val="20"/>
                <w:szCs w:val="20"/>
              </w:rPr>
            </w:pPr>
          </w:p>
        </w:tc>
        <w:tc>
          <w:tcPr>
            <w:tcW w:w="5542" w:type="dxa"/>
          </w:tcPr>
          <w:p w:rsidR="00F00A97" w:rsidRPr="007A65D8" w:rsidRDefault="00DD6EC7" w:rsidP="00F00A97">
            <w:pPr>
              <w:jc w:val="both"/>
              <w:rPr>
                <w:rFonts w:ascii="Arial" w:hAnsi="Arial" w:cs="Arial"/>
                <w:color w:val="000000"/>
                <w:sz w:val="22"/>
                <w:szCs w:val="22"/>
              </w:rPr>
            </w:pPr>
            <w:r w:rsidRPr="007A65D8">
              <w:rPr>
                <w:rFonts w:ascii="Arial" w:hAnsi="Arial" w:cs="Arial"/>
                <w:sz w:val="22"/>
                <w:szCs w:val="22"/>
              </w:rPr>
              <w:t>Nav</w:t>
            </w:r>
          </w:p>
        </w:tc>
      </w:tr>
      <w:tr w:rsidR="00F00A97" w:rsidRPr="007A65D8" w:rsidTr="00F00A97">
        <w:tc>
          <w:tcPr>
            <w:tcW w:w="514" w:type="dxa"/>
          </w:tcPr>
          <w:p w:rsidR="00F00A97" w:rsidRPr="007A65D8" w:rsidRDefault="00F00A97" w:rsidP="00F00A97">
            <w:pPr>
              <w:rPr>
                <w:rFonts w:ascii="Arial" w:hAnsi="Arial" w:cs="Arial"/>
                <w:b/>
                <w:sz w:val="19"/>
                <w:szCs w:val="19"/>
              </w:rPr>
            </w:pPr>
            <w:r w:rsidRPr="007A65D8">
              <w:rPr>
                <w:rFonts w:ascii="Arial" w:hAnsi="Arial" w:cs="Arial"/>
                <w:b/>
                <w:sz w:val="19"/>
                <w:szCs w:val="19"/>
              </w:rPr>
              <w:t>16.</w:t>
            </w:r>
          </w:p>
        </w:tc>
        <w:tc>
          <w:tcPr>
            <w:tcW w:w="4086" w:type="dxa"/>
          </w:tcPr>
          <w:p w:rsidR="00F00A97" w:rsidRPr="007A65D8" w:rsidRDefault="00F00A97" w:rsidP="00F00A97">
            <w:pPr>
              <w:rPr>
                <w:rFonts w:ascii="Arial" w:hAnsi="Arial" w:cs="Arial"/>
                <w:b/>
                <w:sz w:val="20"/>
                <w:szCs w:val="20"/>
              </w:rPr>
            </w:pPr>
            <w:r w:rsidRPr="007A65D8">
              <w:rPr>
                <w:rFonts w:ascii="Arial" w:hAnsi="Arial" w:cs="Arial"/>
                <w:b/>
                <w:sz w:val="20"/>
                <w:szCs w:val="20"/>
              </w:rPr>
              <w:t>Brīdinājums</w:t>
            </w:r>
          </w:p>
          <w:p w:rsidR="00F00A97" w:rsidRPr="007A65D8" w:rsidRDefault="00F00A97" w:rsidP="00F00A97">
            <w:pPr>
              <w:rPr>
                <w:rFonts w:ascii="Arial" w:hAnsi="Arial" w:cs="Arial"/>
                <w:b/>
                <w:sz w:val="20"/>
                <w:szCs w:val="20"/>
              </w:rPr>
            </w:pPr>
          </w:p>
        </w:tc>
        <w:tc>
          <w:tcPr>
            <w:tcW w:w="5542" w:type="dxa"/>
          </w:tcPr>
          <w:p w:rsidR="00F00A97" w:rsidRPr="007A65D8" w:rsidRDefault="00DD6EC7" w:rsidP="00F00A97">
            <w:pPr>
              <w:jc w:val="both"/>
              <w:rPr>
                <w:rFonts w:ascii="Arial" w:hAnsi="Arial" w:cs="Arial"/>
                <w:color w:val="000000"/>
                <w:sz w:val="22"/>
                <w:szCs w:val="22"/>
              </w:rPr>
            </w:pPr>
            <w:r w:rsidRPr="007A65D8">
              <w:rPr>
                <w:rFonts w:ascii="Arial" w:hAnsi="Arial" w:cs="Arial"/>
                <w:sz w:val="22"/>
                <w:szCs w:val="22"/>
              </w:rPr>
              <w:t>Nav</w:t>
            </w:r>
          </w:p>
        </w:tc>
      </w:tr>
      <w:tr w:rsidR="00F00A97" w:rsidRPr="007A65D8" w:rsidTr="00F00A97">
        <w:tc>
          <w:tcPr>
            <w:tcW w:w="514" w:type="dxa"/>
          </w:tcPr>
          <w:p w:rsidR="00F00A97" w:rsidRPr="007A65D8" w:rsidRDefault="00F00A97" w:rsidP="00F00A97">
            <w:pPr>
              <w:rPr>
                <w:rFonts w:ascii="Arial" w:hAnsi="Arial" w:cs="Arial"/>
                <w:b/>
                <w:sz w:val="19"/>
                <w:szCs w:val="19"/>
              </w:rPr>
            </w:pPr>
            <w:r w:rsidRPr="007A65D8">
              <w:rPr>
                <w:rFonts w:ascii="Arial" w:hAnsi="Arial" w:cs="Arial"/>
                <w:b/>
                <w:sz w:val="19"/>
                <w:szCs w:val="19"/>
              </w:rPr>
              <w:t>17.</w:t>
            </w:r>
          </w:p>
        </w:tc>
        <w:tc>
          <w:tcPr>
            <w:tcW w:w="4086" w:type="dxa"/>
          </w:tcPr>
          <w:p w:rsidR="00F00A97" w:rsidRPr="007A65D8" w:rsidRDefault="00F00A97" w:rsidP="00F00A97">
            <w:pPr>
              <w:rPr>
                <w:rFonts w:ascii="Arial" w:hAnsi="Arial" w:cs="Arial"/>
                <w:b/>
                <w:sz w:val="20"/>
                <w:szCs w:val="20"/>
              </w:rPr>
            </w:pPr>
            <w:r w:rsidRPr="007A65D8">
              <w:rPr>
                <w:rFonts w:ascii="Arial" w:hAnsi="Arial" w:cs="Arial"/>
                <w:b/>
                <w:sz w:val="20"/>
                <w:szCs w:val="20"/>
              </w:rPr>
              <w:t>Pakalpojuma pieprasīšanas veidi</w:t>
            </w:r>
          </w:p>
          <w:p w:rsidR="00F00A97" w:rsidRPr="007A65D8" w:rsidRDefault="00F00A97" w:rsidP="00F00A97">
            <w:pPr>
              <w:rPr>
                <w:rFonts w:ascii="Arial" w:hAnsi="Arial" w:cs="Arial"/>
                <w:b/>
                <w:sz w:val="20"/>
                <w:szCs w:val="20"/>
              </w:rPr>
            </w:pPr>
          </w:p>
        </w:tc>
        <w:tc>
          <w:tcPr>
            <w:tcW w:w="5542" w:type="dxa"/>
          </w:tcPr>
          <w:p w:rsidR="00F00A97" w:rsidRPr="007A65D8" w:rsidRDefault="00F00A97" w:rsidP="00F00A97">
            <w:pPr>
              <w:rPr>
                <w:rFonts w:ascii="Arial" w:hAnsi="Arial" w:cs="Arial"/>
                <w:sz w:val="22"/>
                <w:szCs w:val="22"/>
              </w:rPr>
            </w:pPr>
            <w:r w:rsidRPr="007A65D8">
              <w:rPr>
                <w:rFonts w:ascii="Arial" w:hAnsi="Arial" w:cs="Arial"/>
                <w:sz w:val="22"/>
                <w:szCs w:val="22"/>
              </w:rPr>
              <w:t>Klātiene; e-pasts, pasts</w:t>
            </w:r>
          </w:p>
        </w:tc>
      </w:tr>
      <w:tr w:rsidR="00F00A97" w:rsidRPr="007A65D8" w:rsidTr="00F00A97">
        <w:tc>
          <w:tcPr>
            <w:tcW w:w="514" w:type="dxa"/>
          </w:tcPr>
          <w:p w:rsidR="00F00A97" w:rsidRPr="007A65D8" w:rsidRDefault="00F00A97" w:rsidP="00F00A97">
            <w:pPr>
              <w:rPr>
                <w:rFonts w:ascii="Arial" w:hAnsi="Arial" w:cs="Arial"/>
                <w:b/>
                <w:sz w:val="19"/>
                <w:szCs w:val="19"/>
              </w:rPr>
            </w:pPr>
            <w:r w:rsidRPr="007A65D8">
              <w:rPr>
                <w:rFonts w:ascii="Arial" w:hAnsi="Arial" w:cs="Arial"/>
                <w:b/>
                <w:sz w:val="19"/>
                <w:szCs w:val="19"/>
              </w:rPr>
              <w:t>18.</w:t>
            </w:r>
          </w:p>
        </w:tc>
        <w:tc>
          <w:tcPr>
            <w:tcW w:w="4086" w:type="dxa"/>
          </w:tcPr>
          <w:p w:rsidR="00F00A97" w:rsidRPr="007A65D8" w:rsidRDefault="00F00A97" w:rsidP="00F00A97">
            <w:pPr>
              <w:rPr>
                <w:rFonts w:ascii="Arial" w:hAnsi="Arial" w:cs="Arial"/>
                <w:b/>
                <w:sz w:val="20"/>
                <w:szCs w:val="20"/>
              </w:rPr>
            </w:pPr>
            <w:r w:rsidRPr="007A65D8">
              <w:rPr>
                <w:rFonts w:ascii="Arial" w:hAnsi="Arial" w:cs="Arial"/>
                <w:b/>
                <w:sz w:val="20"/>
                <w:szCs w:val="20"/>
              </w:rPr>
              <w:t>Pakalpojuma saņemšanas veidi</w:t>
            </w:r>
          </w:p>
        </w:tc>
        <w:tc>
          <w:tcPr>
            <w:tcW w:w="5542" w:type="dxa"/>
          </w:tcPr>
          <w:p w:rsidR="00F00A97" w:rsidRPr="007A65D8" w:rsidRDefault="00F00A97" w:rsidP="00F00A97">
            <w:pPr>
              <w:rPr>
                <w:rFonts w:ascii="Arial" w:hAnsi="Arial" w:cs="Arial"/>
                <w:sz w:val="22"/>
                <w:szCs w:val="22"/>
              </w:rPr>
            </w:pPr>
            <w:r w:rsidRPr="007A65D8">
              <w:rPr>
                <w:rFonts w:ascii="Arial" w:hAnsi="Arial" w:cs="Arial"/>
                <w:sz w:val="22"/>
                <w:szCs w:val="22"/>
              </w:rPr>
              <w:t xml:space="preserve">Klātiene, e-pasts; pasts </w:t>
            </w:r>
          </w:p>
        </w:tc>
      </w:tr>
    </w:tbl>
    <w:p w:rsidR="00F00A97" w:rsidRPr="007A65D8" w:rsidRDefault="00F00A97" w:rsidP="00F00A97">
      <w:pPr>
        <w:rPr>
          <w:rFonts w:ascii="Arial" w:hAnsi="Arial" w:cs="Arial"/>
        </w:rPr>
      </w:pPr>
    </w:p>
    <w:p w:rsidR="00F00A97" w:rsidRPr="007A65D8" w:rsidRDefault="00F00A97" w:rsidP="00F00A97">
      <w:pPr>
        <w:rPr>
          <w:rFonts w:ascii="Arial" w:hAnsi="Arial" w:cs="Arial"/>
        </w:rPr>
      </w:pPr>
    </w:p>
    <w:p w:rsidR="00F00A97" w:rsidRPr="007A65D8" w:rsidRDefault="00F00A97" w:rsidP="00F00A97">
      <w:pPr>
        <w:rPr>
          <w:rFonts w:ascii="Arial" w:hAnsi="Arial" w:cs="Arial"/>
        </w:rPr>
      </w:pPr>
    </w:p>
    <w:p w:rsidR="006A65B6" w:rsidRPr="007A65D8" w:rsidRDefault="006A65B6">
      <w:pPr>
        <w:rPr>
          <w:rFonts w:ascii="Arial" w:hAnsi="Arial" w:cs="Arial"/>
        </w:rPr>
      </w:pPr>
      <w:bookmarkStart w:id="0" w:name="_GoBack"/>
      <w:bookmarkEnd w:id="0"/>
    </w:p>
    <w:sectPr w:rsidR="006A65B6" w:rsidRPr="007A65D8" w:rsidSect="008B39B1">
      <w:pgSz w:w="11906" w:h="16838"/>
      <w:pgMar w:top="719" w:right="566"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94577"/>
    <w:multiLevelType w:val="hybridMultilevel"/>
    <w:tmpl w:val="A9860E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A97"/>
    <w:rsid w:val="006A65B6"/>
    <w:rsid w:val="007A65D8"/>
    <w:rsid w:val="00B22D86"/>
    <w:rsid w:val="00B9238D"/>
    <w:rsid w:val="00DD6EC7"/>
    <w:rsid w:val="00F00A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FD9F6EF8-455D-4F93-BB42-4F2394B3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A97"/>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0A9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227707" TargetMode="External"/><Relationship Id="rId5" Type="http://schemas.openxmlformats.org/officeDocument/2006/relationships/hyperlink" Target="http://www.likumi.lv/doc.php?id=2194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2797</Words>
  <Characters>1595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Arija Miksa</dc:creator>
  <cp:keywords/>
  <dc:description/>
  <cp:lastModifiedBy>Arija Miksa</cp:lastModifiedBy>
  <cp:revision>2</cp:revision>
  <dcterms:created xsi:type="dcterms:W3CDTF">2016-11-21T12:59:00Z</dcterms:created>
  <dcterms:modified xsi:type="dcterms:W3CDTF">2016-11-23T09:19:00Z</dcterms:modified>
</cp:coreProperties>
</file>